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1203960" cy="460375"/>
            <wp:effectExtent l="0" t="0" r="15240" b="15875"/>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8" cstate="print"/>
                    <a:stretch>
                      <a:fillRect/>
                    </a:stretch>
                  </pic:blipFill>
                  <pic:spPr>
                    <a:xfrm>
                      <a:off x="0" y="0"/>
                      <a:ext cx="1203960" cy="460375"/>
                    </a:xfrm>
                    <a:prstGeom prst="rect">
                      <a:avLst/>
                    </a:prstGeom>
                    <a:noFill/>
                    <a:ln w="9525">
                      <a:noFill/>
                    </a:ln>
                  </pic:spPr>
                </pic:pic>
              </a:graphicData>
            </a:graphic>
          </wp:inline>
        </w:drawing>
      </w:r>
    </w:p>
    <w:p>
      <w:pPr>
        <w:jc w:val="center"/>
        <w:rPr>
          <w:rFonts w:ascii="方正仿宋_GBK" w:hAnsi="方正仿宋_GBK" w:eastAsia="方正仿宋_GBK" w:cs="方正仿宋_GBK"/>
          <w:b/>
          <w:sz w:val="28"/>
          <w:szCs w:val="28"/>
        </w:rPr>
      </w:pPr>
    </w:p>
    <w:p>
      <w:pPr>
        <w:jc w:val="center"/>
        <w:rPr>
          <w:rFonts w:hint="eastAsia" w:ascii="方正仿宋_GBK" w:hAnsi="方正仿宋_GBK" w:eastAsia="方正仿宋_GBK" w:cs="方正仿宋_GBK"/>
          <w:bCs/>
          <w:sz w:val="44"/>
          <w:szCs w:val="44"/>
          <w:lang w:eastAsia="zh-CN"/>
        </w:rPr>
      </w:pPr>
      <w:r>
        <w:rPr>
          <w:rFonts w:hint="eastAsia" w:ascii="方正仿宋_GBK" w:hAnsi="方正仿宋_GBK" w:eastAsia="方正仿宋_GBK" w:cs="方正仿宋_GBK"/>
          <w:bCs/>
          <w:sz w:val="44"/>
          <w:szCs w:val="44"/>
        </w:rPr>
        <w:t>项目编号：</w:t>
      </w:r>
      <w:r>
        <w:rPr>
          <w:rFonts w:hint="eastAsia" w:ascii="方正仿宋_GBK" w:hAnsi="方正仿宋_GBK" w:eastAsia="方正仿宋_GBK" w:cs="方正仿宋_GBK"/>
          <w:bCs/>
          <w:sz w:val="44"/>
          <w:szCs w:val="44"/>
          <w:lang w:eastAsia="zh-CN"/>
        </w:rPr>
        <w:t>SCZJDL〔2022〕25号</w:t>
      </w:r>
    </w:p>
    <w:p>
      <w:pPr>
        <w:jc w:val="center"/>
        <w:rPr>
          <w:rFonts w:hint="eastAsia" w:ascii="方正仿宋_GBK" w:hAnsi="方正仿宋_GBK" w:eastAsia="方正仿宋_GBK" w:cs="方正仿宋_GBK"/>
          <w:bCs/>
          <w:sz w:val="44"/>
          <w:szCs w:val="44"/>
          <w:lang w:eastAsia="zh-CN"/>
        </w:rPr>
      </w:pPr>
      <w:r>
        <w:rPr>
          <w:rFonts w:hint="eastAsia" w:ascii="方正仿宋_GBK" w:hAnsi="方正仿宋_GBK" w:eastAsia="方正仿宋_GBK" w:cs="方正仿宋_GBK"/>
          <w:bCs/>
          <w:sz w:val="44"/>
          <w:szCs w:val="44"/>
          <w:lang w:eastAsia="zh-CN"/>
        </w:rPr>
        <w:t>巴中市消防救援支队干杂（调料）配送</w:t>
      </w:r>
    </w:p>
    <w:p>
      <w:pPr>
        <w:jc w:val="center"/>
        <w:rPr>
          <w:rFonts w:hint="eastAsia" w:ascii="方正仿宋_GBK" w:hAnsi="方正仿宋_GBK" w:eastAsia="方正仿宋_GBK" w:cs="方正仿宋_GBK"/>
          <w:bCs/>
          <w:sz w:val="44"/>
          <w:szCs w:val="44"/>
          <w:lang w:eastAsia="zh-CN"/>
        </w:rPr>
      </w:pPr>
      <w:r>
        <w:rPr>
          <w:rFonts w:hint="eastAsia" w:ascii="方正仿宋_GBK" w:hAnsi="方正仿宋_GBK" w:eastAsia="方正仿宋_GBK" w:cs="方正仿宋_GBK"/>
          <w:bCs/>
          <w:sz w:val="44"/>
          <w:szCs w:val="44"/>
          <w:lang w:eastAsia="zh-CN"/>
        </w:rPr>
        <w:t>服务采购项目</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72"/>
          <w:szCs w:val="72"/>
        </w:rPr>
        <w:t>竞争性</w:t>
      </w:r>
      <w:r>
        <w:rPr>
          <w:rFonts w:hint="eastAsia" w:ascii="方正仿宋_GBK" w:hAnsi="方正仿宋_GBK" w:eastAsia="方正仿宋_GBK" w:cs="方正仿宋_GBK"/>
          <w:b/>
          <w:sz w:val="72"/>
          <w:szCs w:val="72"/>
          <w:lang w:eastAsia="zh-CN"/>
        </w:rPr>
        <w:t>磋商</w:t>
      </w:r>
      <w:r>
        <w:rPr>
          <w:rFonts w:hint="eastAsia" w:ascii="方正仿宋_GBK" w:hAnsi="方正仿宋_GBK" w:eastAsia="方正仿宋_GBK" w:cs="方正仿宋_GBK"/>
          <w:b/>
          <w:sz w:val="72"/>
          <w:szCs w:val="72"/>
        </w:rPr>
        <w:t>文件</w:t>
      </w:r>
    </w:p>
    <w:p>
      <w:pPr>
        <w:jc w:val="center"/>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pStyle w:val="2"/>
      </w:pPr>
    </w:p>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巴中市消防救援支队</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2022年</w:t>
      </w: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月</w:t>
      </w:r>
    </w:p>
    <w:p>
      <w:pPr>
        <w:pStyle w:val="2"/>
        <w:jc w:val="center"/>
        <w:rPr>
          <w:rFonts w:ascii="方正仿宋_GBK" w:hAnsi="方正仿宋_GBK" w:eastAsia="方正仿宋_GBK" w:cs="方正仿宋_GBK"/>
          <w:b/>
          <w:sz w:val="28"/>
          <w:szCs w:val="28"/>
        </w:rPr>
        <w:sectPr>
          <w:headerReference r:id="rId3" w:type="default"/>
          <w:pgSz w:w="11906" w:h="16838"/>
          <w:pgMar w:top="1440" w:right="1803" w:bottom="1440" w:left="1803" w:header="851" w:footer="964" w:gutter="0"/>
          <w:pgNumType w:fmt="decimal"/>
          <w:cols w:space="720" w:num="1"/>
          <w:docGrid w:type="lines" w:linePitch="312" w:charSpace="0"/>
        </w:sectPr>
      </w:pP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廉洁自律书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为进一步规范四川振嘉工程招标代理有限公司政府采购行为，维护政府采购制度，净化政府采购市场环境。四川振嘉工程招标代理有限公司在代理政府采购招标事务过程中郑重承诺：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公司员工遵纪守法，不得以不正当手段争取、承揽政府代理采购事务和向任何单位和个人支付现金、实物或其他利益的行为。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公司员工不得参与供应商存在任何商业上的利害关系，不得在供应商单位兼职或任职，不得泄露政府采购过程中的机密。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公司员工在业务交往中，不得故意刁难供应商，影响正常的业务开展。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公司全体员工接受来自社会各界的监督、举报，请各位政府采购参与者充分了解自觉践行本准则，共同营造廉洁诚信的政采环境，共同推动阳光透明的政府采购。</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举报电话：0827-8668888      举报邮箱：3480200800@qq.com</w:t>
      </w:r>
    </w:p>
    <w:p>
      <w:pPr>
        <w:spacing w:line="360" w:lineRule="auto"/>
        <w:ind w:firstLine="560" w:firstLineChars="200"/>
        <w:rPr>
          <w:rFonts w:hint="eastAsia" w:ascii="方正仿宋_GBK" w:hAnsi="方正仿宋_GBK" w:eastAsia="方正仿宋_GBK" w:cs="方正仿宋_GBK"/>
          <w:sz w:val="28"/>
          <w:szCs w:val="28"/>
        </w:rPr>
        <w:sectPr>
          <w:footerReference r:id="rId4" w:type="default"/>
          <w:pgSz w:w="11906" w:h="16838"/>
          <w:pgMar w:top="1440" w:right="1803" w:bottom="1440" w:left="1803" w:header="1134" w:footer="992" w:gutter="0"/>
          <w:pgNumType w:fmt="decimal" w:start="1"/>
          <w:cols w:space="720" w:num="1"/>
          <w:docGrid w:type="lines" w:linePitch="312" w:charSpace="0"/>
        </w:sectPr>
      </w:pPr>
    </w:p>
    <w:p>
      <w:pPr>
        <w:pStyle w:val="2"/>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"1-3" \h \u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_Toc23997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_Toc23997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_Toc389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_Toc389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_Toc9448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三、采购项目简介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_Toc9448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_Toc3642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四、项目</w:t>
      </w:r>
      <w:r>
        <w:rPr>
          <w:rFonts w:hint="eastAsia" w:ascii="方正仿宋_GBK" w:hAnsi="方正仿宋_GBK" w:eastAsia="方正仿宋_GBK" w:cs="方正仿宋_GBK"/>
          <w:bCs/>
          <w:sz w:val="28"/>
          <w:szCs w:val="28"/>
          <w:lang w:eastAsia="zh-CN"/>
        </w:rPr>
        <w:t>技术、</w:t>
      </w:r>
      <w:r>
        <w:rPr>
          <w:rFonts w:hint="eastAsia" w:ascii="方正仿宋_GBK" w:hAnsi="方正仿宋_GBK" w:eastAsia="方正仿宋_GBK" w:cs="方正仿宋_GBK"/>
          <w:bCs/>
          <w:sz w:val="28"/>
          <w:szCs w:val="28"/>
        </w:rPr>
        <w:t>服务要求</w:t>
      </w:r>
      <w:r>
        <w:rPr>
          <w:rFonts w:hint="eastAsia" w:ascii="方正仿宋_GBK" w:hAnsi="方正仿宋_GBK" w:eastAsia="方正仿宋_GBK" w:cs="方正仿宋_GBK"/>
          <w:bCs/>
          <w:sz w:val="28"/>
          <w:szCs w:val="28"/>
          <w:lang w:eastAsia="zh-CN"/>
        </w:rPr>
        <w:t>及商务要求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_Toc3642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_Toc6339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_Toc6339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_Toc8927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_Toc8927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_Toc20435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_Toc20435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_Toc19913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程序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_Toc19913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_Toc20834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_Toc20834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_Toc27228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_Toc27228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_Toc8080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_Toc8080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_Toc32057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_Toc32057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_Toc13153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_Toc13153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_Toc3766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_Toc3766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_Toc448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_Toc448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4"/>
        <w:tabs>
          <w:tab w:val="right" w:leader="dot" w:pos="8300"/>
        </w:tabs>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_Toc24116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_Toc24116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巴中市消防救援支队</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巴中市消防救援支队干杂（调料）配送服务采购项目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w:t>
      </w:r>
      <w:r>
        <w:rPr>
          <w:rFonts w:hint="eastAsia" w:ascii="方正仿宋_GBK" w:hAnsi="方正仿宋_GBK" w:eastAsia="方正仿宋_GBK" w:cs="方正仿宋_GBK"/>
          <w:sz w:val="28"/>
          <w:szCs w:val="28"/>
          <w:u w:val="single"/>
          <w:lang w:eastAsia="zh-CN"/>
        </w:rPr>
        <w:t>磋商</w:t>
      </w:r>
      <w:r>
        <w:rPr>
          <w:rFonts w:hint="eastAsia" w:ascii="方正仿宋_GBK" w:hAnsi="方正仿宋_GBK" w:eastAsia="方正仿宋_GBK" w:cs="方正仿宋_GBK"/>
          <w:sz w:val="28"/>
          <w:szCs w:val="28"/>
        </w:rPr>
        <w:t>方式进行采购，特邀请符合本次采购要求的供应商参加报价。</w:t>
      </w:r>
    </w:p>
    <w:p>
      <w:pPr>
        <w:pStyle w:val="3"/>
        <w:rPr>
          <w:rFonts w:ascii="方正仿宋_GBK" w:hAnsi="方正仿宋_GBK"/>
          <w:sz w:val="28"/>
          <w:szCs w:val="28"/>
        </w:rPr>
      </w:pPr>
      <w:bookmarkStart w:id="0" w:name="_Toc23997"/>
      <w:r>
        <w:rPr>
          <w:rFonts w:hint="eastAsia" w:ascii="方正仿宋_GBK" w:hAnsi="方正仿宋_GBK"/>
          <w:sz w:val="28"/>
          <w:szCs w:val="28"/>
        </w:rPr>
        <w:t>一、采购项目基本情况</w:t>
      </w:r>
      <w:bookmarkEnd w:id="0"/>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w:t>
      </w:r>
      <w:r>
        <w:rPr>
          <w:rFonts w:hint="eastAsia" w:ascii="方正仿宋_GBK" w:hAnsi="方正仿宋_GBK" w:eastAsia="方正仿宋_GBK" w:cs="方正仿宋_GBK"/>
          <w:sz w:val="28"/>
          <w:szCs w:val="28"/>
          <w:lang w:eastAsia="zh-CN"/>
        </w:rPr>
        <w:t>SCZJDL〔2022〕25号</w:t>
      </w:r>
      <w:r>
        <w:rPr>
          <w:rFonts w:hint="eastAsia" w:ascii="方正仿宋_GBK" w:hAnsi="方正仿宋_GBK" w:eastAsia="方正仿宋_GBK" w:cs="方正仿宋_GBK"/>
          <w:sz w:val="28"/>
          <w:szCs w:val="28"/>
        </w:rPr>
        <w:t>；</w:t>
      </w:r>
    </w:p>
    <w:p>
      <w:pPr>
        <w:jc w:val="both"/>
        <w:rPr>
          <w:rFonts w:hint="eastAsia" w:ascii="方正仿宋_GBK" w:hAnsi="宋体" w:eastAsia="方正仿宋_GBK" w:cs="宋体"/>
          <w:color w:val="FF0000"/>
          <w:kern w:val="0"/>
          <w:sz w:val="28"/>
          <w:szCs w:val="28"/>
          <w:lang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2、采购项目名称：</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巴中市消防救援支队干杂（调料）配送服务采购项目</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lang w:val="en-US" w:eastAsia="zh-CN"/>
        </w:rPr>
        <w:t xml:space="preserve">        </w:t>
      </w:r>
    </w:p>
    <w:p>
      <w:pPr>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、采购人：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巴中市消防救援支队</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4、采购代理机构：四川振嘉工程招标代理有限公司。</w:t>
      </w:r>
    </w:p>
    <w:p>
      <w:pPr>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供应商邀请方式：本次</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磋商</w:t>
      </w:r>
      <w:r>
        <w:rPr>
          <w:rFonts w:hint="eastAsia" w:ascii="方正仿宋_GBK" w:hAnsi="方正仿宋_GBK" w:eastAsia="方正仿宋_GBK" w:cs="方正仿宋_GBK"/>
          <w:color w:val="000000" w:themeColor="text1"/>
          <w:sz w:val="28"/>
          <w:szCs w:val="28"/>
          <w14:textFill>
            <w14:solidFill>
              <w14:schemeClr w14:val="tx1"/>
            </w14:solidFill>
          </w14:textFill>
        </w:rPr>
        <w:t>邀请在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中国政府采购网（http://www.ccgp.gov.cn/）及</w:t>
      </w:r>
      <w:r>
        <w:rPr>
          <w:rFonts w:hint="eastAsia" w:ascii="方正仿宋_GBK" w:hAnsi="方正仿宋_GBK" w:eastAsia="方正仿宋_GBK" w:cs="方正仿宋_GBK"/>
          <w:color w:val="000000" w:themeColor="text1"/>
          <w:sz w:val="28"/>
          <w:szCs w:val="28"/>
          <w14:textFill>
            <w14:solidFill>
              <w14:schemeClr w14:val="tx1"/>
            </w14:solidFill>
          </w14:textFill>
        </w:rPr>
        <w:t>四川振嘉工程招标代理有限公司网站（http://www.scszjdl.cn/）上以公告的形式发布。</w:t>
      </w:r>
    </w:p>
    <w:p>
      <w:pPr>
        <w:keepNext w:val="0"/>
        <w:keepLines w:val="0"/>
        <w:widowControl/>
        <w:suppressLineNumbers w:val="0"/>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中小企业所属行业：</w:t>
      </w:r>
      <w:r>
        <w:rPr>
          <w:rFonts w:hint="eastAsia" w:ascii="方正仿宋_GBK" w:hAnsi="方正仿宋_GBK" w:eastAsia="方正仿宋_GBK" w:cs="方正仿宋_GBK"/>
          <w:color w:val="000000" w:themeColor="text1"/>
          <w:sz w:val="28"/>
          <w:szCs w:val="28"/>
          <w14:textFill>
            <w14:solidFill>
              <w14:schemeClr w14:val="tx1"/>
            </w14:solidFill>
          </w14:textFill>
        </w:rPr>
        <w:t>根据《关于印发中小企业划型标准规定的通知》（工信部联企业</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〔20</w:t>
      </w: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300号）规定的划分标准，本项目的采购标的皆属于</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零售业。</w:t>
      </w:r>
    </w:p>
    <w:p>
      <w:pPr>
        <w:pStyle w:val="3"/>
        <w:rPr>
          <w:rFonts w:ascii="方正仿宋_GBK" w:hAnsi="方正仿宋_GBK"/>
          <w:sz w:val="28"/>
          <w:szCs w:val="28"/>
        </w:rPr>
      </w:pPr>
      <w:bookmarkStart w:id="1" w:name="_Toc389"/>
      <w:r>
        <w:rPr>
          <w:rFonts w:hint="eastAsia" w:ascii="方正仿宋_GBK" w:hAnsi="方正仿宋_GBK"/>
          <w:sz w:val="28"/>
          <w:szCs w:val="28"/>
        </w:rPr>
        <w:t>二、资金情况</w:t>
      </w:r>
      <w:bookmarkEnd w:id="1"/>
    </w:p>
    <w:p>
      <w:pPr>
        <w:ind w:right="31" w:rightChars="15"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资金来源：</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财政资金，控制价：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20万元。</w:t>
      </w:r>
    </w:p>
    <w:p>
      <w:pPr>
        <w:pStyle w:val="3"/>
        <w:rPr>
          <w:rFonts w:ascii="方正仿宋_GBK" w:hAnsi="方正仿宋_GBK"/>
          <w:sz w:val="28"/>
          <w:szCs w:val="28"/>
        </w:rPr>
      </w:pPr>
      <w:bookmarkStart w:id="2" w:name="_Toc9448"/>
      <w:r>
        <w:rPr>
          <w:rFonts w:hint="eastAsia" w:ascii="方正仿宋_GBK" w:hAnsi="方正仿宋_GBK"/>
          <w:bCs/>
          <w:sz w:val="28"/>
          <w:szCs w:val="28"/>
        </w:rPr>
        <w:t>三、采购项目简介</w:t>
      </w:r>
      <w:bookmarkEnd w:id="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本项目共</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个包，为巴中市消防救援支队食堂食材</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米、面、油、鸡蛋、干杂、调味品等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采购。</w:t>
      </w:r>
    </w:p>
    <w:p>
      <w:pPr>
        <w:pStyle w:val="3"/>
        <w:numPr>
          <w:ilvl w:val="0"/>
          <w:numId w:val="1"/>
        </w:numPr>
        <w:rPr>
          <w:rFonts w:ascii="方正仿宋_GBK" w:hAnsi="方正仿宋_GBK"/>
          <w:bCs/>
          <w:color w:val="auto"/>
          <w:sz w:val="28"/>
          <w:szCs w:val="28"/>
        </w:rPr>
      </w:pPr>
      <w:bookmarkStart w:id="3" w:name="_Toc3642"/>
      <w:r>
        <w:rPr>
          <w:rFonts w:hint="eastAsia" w:ascii="方正仿宋_GBK" w:hAnsi="方正仿宋_GBK"/>
          <w:bCs/>
          <w:color w:val="auto"/>
          <w:sz w:val="28"/>
          <w:szCs w:val="28"/>
        </w:rPr>
        <w:t>项目</w:t>
      </w:r>
      <w:r>
        <w:rPr>
          <w:rFonts w:hint="eastAsia" w:ascii="方正仿宋_GBK" w:hAnsi="方正仿宋_GBK"/>
          <w:bCs/>
          <w:color w:val="auto"/>
          <w:sz w:val="28"/>
          <w:szCs w:val="28"/>
          <w:lang w:eastAsia="zh-CN"/>
        </w:rPr>
        <w:t>技术、服务</w:t>
      </w:r>
      <w:r>
        <w:rPr>
          <w:rFonts w:hint="eastAsia" w:ascii="方正仿宋_GBK" w:hAnsi="方正仿宋_GBK"/>
          <w:bCs/>
          <w:color w:val="auto"/>
          <w:sz w:val="28"/>
          <w:szCs w:val="28"/>
        </w:rPr>
        <w:t>要求</w:t>
      </w:r>
      <w:bookmarkEnd w:id="3"/>
      <w:r>
        <w:rPr>
          <w:rFonts w:hint="eastAsia" w:ascii="方正仿宋_GBK" w:hAnsi="方正仿宋_GBK"/>
          <w:bCs/>
          <w:color w:val="auto"/>
          <w:sz w:val="28"/>
          <w:szCs w:val="28"/>
          <w:lang w:eastAsia="zh-CN"/>
        </w:rPr>
        <w:t>及商务要求</w:t>
      </w:r>
    </w:p>
    <w:p>
      <w:pPr>
        <w:pStyle w:val="4"/>
        <w:numPr>
          <w:ilvl w:val="0"/>
          <w:numId w:val="2"/>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项目技术参数、质量要求</w:t>
      </w:r>
    </w:p>
    <w:tbl>
      <w:tblPr>
        <w:tblStyle w:val="21"/>
        <w:tblW w:w="867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80"/>
        <w:gridCol w:w="900"/>
        <w:gridCol w:w="765"/>
        <w:gridCol w:w="2145"/>
        <w:gridCol w:w="930"/>
        <w:gridCol w:w="1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670" w:type="dxa"/>
            <w:gridSpan w:val="8"/>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粮油类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0"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序号</w:t>
            </w:r>
          </w:p>
        </w:tc>
        <w:tc>
          <w:tcPr>
            <w:tcW w:w="1980"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名称</w:t>
            </w:r>
          </w:p>
        </w:tc>
        <w:tc>
          <w:tcPr>
            <w:tcW w:w="900"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单位</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序号</w:t>
            </w:r>
          </w:p>
        </w:tc>
        <w:tc>
          <w:tcPr>
            <w:tcW w:w="214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名称</w:t>
            </w:r>
          </w:p>
        </w:tc>
        <w:tc>
          <w:tcPr>
            <w:tcW w:w="948" w:type="dxa"/>
            <w:gridSpan w:val="2"/>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单位</w:t>
            </w:r>
          </w:p>
        </w:tc>
        <w:tc>
          <w:tcPr>
            <w:tcW w:w="1242"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w:t>
            </w:r>
          </w:p>
        </w:tc>
        <w:tc>
          <w:tcPr>
            <w:tcW w:w="198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大米类★</w:t>
            </w:r>
          </w:p>
        </w:tc>
        <w:tc>
          <w:tcPr>
            <w:tcW w:w="90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袋</w:t>
            </w:r>
          </w:p>
        </w:tc>
        <w:tc>
          <w:tcPr>
            <w:tcW w:w="765"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2145"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面粉类★</w:t>
            </w:r>
          </w:p>
        </w:tc>
        <w:tc>
          <w:tcPr>
            <w:tcW w:w="948" w:type="dxa"/>
            <w:gridSpan w:val="2"/>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袋</w:t>
            </w:r>
          </w:p>
        </w:tc>
        <w:tc>
          <w:tcPr>
            <w:tcW w:w="1242" w:type="dxa"/>
            <w:vMerge w:val="restart"/>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实际配送数量为准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198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食用油类★</w:t>
            </w:r>
          </w:p>
        </w:tc>
        <w:tc>
          <w:tcPr>
            <w:tcW w:w="90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桶</w:t>
            </w:r>
          </w:p>
        </w:tc>
        <w:tc>
          <w:tcPr>
            <w:tcW w:w="3858" w:type="dxa"/>
            <w:gridSpan w:val="4"/>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242" w:type="dxa"/>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670" w:type="dxa"/>
            <w:gridSpan w:val="8"/>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干杂类及调味品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序号</w:t>
            </w:r>
          </w:p>
        </w:tc>
        <w:tc>
          <w:tcPr>
            <w:tcW w:w="198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名称</w:t>
            </w:r>
          </w:p>
        </w:tc>
        <w:tc>
          <w:tcPr>
            <w:tcW w:w="90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单位</w:t>
            </w:r>
          </w:p>
        </w:tc>
        <w:tc>
          <w:tcPr>
            <w:tcW w:w="765"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序号</w:t>
            </w:r>
          </w:p>
        </w:tc>
        <w:tc>
          <w:tcPr>
            <w:tcW w:w="2145"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名称</w:t>
            </w:r>
          </w:p>
        </w:tc>
        <w:tc>
          <w:tcPr>
            <w:tcW w:w="93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单位</w:t>
            </w:r>
          </w:p>
        </w:tc>
        <w:tc>
          <w:tcPr>
            <w:tcW w:w="1260" w:type="dxa"/>
            <w:gridSpan w:val="2"/>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土豆粉</w:t>
            </w:r>
          </w:p>
        </w:tc>
        <w:tc>
          <w:tcPr>
            <w:tcW w:w="900"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41</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料酒▲</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瓶</w:t>
            </w:r>
          </w:p>
        </w:tc>
        <w:tc>
          <w:tcPr>
            <w:tcW w:w="1260" w:type="dxa"/>
            <w:gridSpan w:val="2"/>
            <w:vMerge w:val="restart"/>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sz w:val="21"/>
                <w:szCs w:val="21"/>
              </w:rPr>
              <w:t>以实际配送数量为准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火锅料</w:t>
            </w:r>
            <w:r>
              <w:rPr>
                <w:rFonts w:hint="eastAsia" w:ascii="方正仿宋_GBK" w:hAnsi="方正仿宋_GBK" w:eastAsia="方正仿宋_GBK" w:cs="方正仿宋_GBK"/>
                <w:color w:val="auto"/>
                <w:sz w:val="21"/>
                <w:szCs w:val="21"/>
                <w:vertAlign w:val="baseline"/>
                <w:lang w:val="en-US" w:eastAsia="zh-CN"/>
              </w:rPr>
              <w:t>▲</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42</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干桃仁</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白糖</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43</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醋</w:t>
            </w:r>
            <w:r>
              <w:rPr>
                <w:rFonts w:hint="eastAsia" w:ascii="方正仿宋_GBK" w:hAnsi="方正仿宋_GBK" w:eastAsia="方正仿宋_GBK" w:cs="方正仿宋_GBK"/>
                <w:color w:val="auto"/>
                <w:sz w:val="21"/>
                <w:szCs w:val="21"/>
                <w:vertAlign w:val="baseline"/>
                <w:lang w:val="en-US" w:eastAsia="zh-CN"/>
              </w:rPr>
              <w:t>▲</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盐</w:t>
            </w:r>
            <w:r>
              <w:rPr>
                <w:rFonts w:hint="eastAsia" w:ascii="方正仿宋_GBK" w:hAnsi="方正仿宋_GBK" w:eastAsia="方正仿宋_GBK" w:cs="方正仿宋_GBK"/>
                <w:color w:val="auto"/>
                <w:sz w:val="21"/>
                <w:szCs w:val="21"/>
                <w:vertAlign w:val="baseline"/>
                <w:lang w:val="en-US" w:eastAsia="zh-CN"/>
              </w:rPr>
              <w:t>▲</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44</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鱼露</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5</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干辣椒</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45</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山海椒</w:t>
            </w:r>
          </w:p>
        </w:tc>
        <w:tc>
          <w:tcPr>
            <w:tcW w:w="930"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6</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鱼料</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46</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蚝油</w:t>
            </w:r>
            <w:r>
              <w:rPr>
                <w:rFonts w:hint="eastAsia" w:ascii="方正仿宋_GBK" w:hAnsi="方正仿宋_GBK" w:eastAsia="方正仿宋_GBK" w:cs="方正仿宋_GBK"/>
                <w:color w:val="auto"/>
                <w:sz w:val="21"/>
                <w:szCs w:val="21"/>
                <w:vertAlign w:val="baseline"/>
                <w:lang w:val="en-US" w:eastAsia="zh-CN"/>
              </w:rPr>
              <w:t>▲</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7</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粉丝</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47</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鸡粉</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鸡精</w:t>
            </w:r>
            <w:r>
              <w:rPr>
                <w:rFonts w:hint="eastAsia" w:ascii="方正仿宋_GBK" w:hAnsi="方正仿宋_GBK" w:eastAsia="方正仿宋_GBK" w:cs="方正仿宋_GBK"/>
                <w:color w:val="auto"/>
                <w:sz w:val="21"/>
                <w:szCs w:val="21"/>
                <w:vertAlign w:val="baseline"/>
                <w:lang w:val="en-US" w:eastAsia="zh-CN"/>
              </w:rPr>
              <w:t>▲</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48</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醪糟</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鲜核桃仁</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49</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当归</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香辣酱</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50</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蒜蓉酱</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11</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火腿肠</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51</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白胡椒粉</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12</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散小木耳</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根</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52</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牛肉酱</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13</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鸡蛋</w:t>
            </w:r>
            <w:r>
              <w:rPr>
                <w:rFonts w:hint="eastAsia" w:ascii="方正仿宋_GBK" w:hAnsi="方正仿宋_GBK" w:eastAsia="方正仿宋_GBK" w:cs="方正仿宋_GBK"/>
                <w:color w:val="auto"/>
                <w:sz w:val="21"/>
                <w:szCs w:val="21"/>
                <w:vertAlign w:val="baseline"/>
                <w:lang w:val="en-US" w:eastAsia="zh-CN"/>
              </w:rPr>
              <w:t>▲</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个</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53</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豆瓣</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14</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八角</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54</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牛肉粉</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罐</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15</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大白云豆</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55</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FF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番茄沙司</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罐</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16</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生抽</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56</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白味腐乳</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黄花</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57</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黑胡椒</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18</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生抽</w:t>
            </w:r>
            <w:r>
              <w:rPr>
                <w:rFonts w:hint="eastAsia" w:ascii="方正仿宋_GBK" w:hAnsi="方正仿宋_GBK" w:eastAsia="方正仿宋_GBK" w:cs="方正仿宋_GBK"/>
                <w:color w:val="auto"/>
                <w:sz w:val="21"/>
                <w:szCs w:val="21"/>
                <w:vertAlign w:val="baseline"/>
                <w:lang w:val="en-US" w:eastAsia="zh-CN"/>
              </w:rPr>
              <w:t>▲</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58</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大枣</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19</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老干妈</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59</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橄榄油</w:t>
            </w:r>
            <w:r>
              <w:rPr>
                <w:rFonts w:hint="eastAsia" w:ascii="方正仿宋_GBK" w:hAnsi="方正仿宋_GBK" w:eastAsia="方正仿宋_GBK" w:cs="方正仿宋_GBK"/>
                <w:color w:val="auto"/>
                <w:sz w:val="21"/>
                <w:szCs w:val="21"/>
                <w:vertAlign w:val="baseline"/>
                <w:lang w:val="en-US" w:eastAsia="zh-CN"/>
              </w:rPr>
              <w:t>▲</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20</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老鸭汤</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60</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白芷</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21</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红花椒</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61</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枸杞子</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22</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老抽</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62</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芝士粉</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23</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花椒油</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63</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香叶</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24</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十三香</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64</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葡萄干</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25</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冰糖</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65</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沙拉酱</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26</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花生米</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66</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细辣椒面</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27</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藤椒油</w:t>
            </w:r>
            <w:r>
              <w:rPr>
                <w:rFonts w:hint="eastAsia" w:ascii="方正仿宋_GBK" w:hAnsi="方正仿宋_GBK" w:eastAsia="方正仿宋_GBK" w:cs="方正仿宋_GBK"/>
                <w:color w:val="auto"/>
                <w:sz w:val="21"/>
                <w:szCs w:val="21"/>
                <w:vertAlign w:val="baseline"/>
                <w:lang w:val="en-US" w:eastAsia="zh-CN"/>
              </w:rPr>
              <w:t>▲</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67</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白面包糠</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28</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青花椒</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68</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玉米粉</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29</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糯米粉</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69</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香草</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30</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豆沙</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70</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小回香</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31</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生粉</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71</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三奈</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32</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藤椒油</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72</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草果</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33</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小米</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73</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桂皮</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34</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干海带</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74</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花椒面</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35</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青芥辣</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75</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白扣</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36</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白芝麻</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76</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红豆</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37</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黄豆</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77</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干豇豆</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豆浆粉</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78</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小磨香油</w:t>
            </w:r>
            <w:r>
              <w:rPr>
                <w:rFonts w:hint="eastAsia" w:ascii="方正仿宋_GBK" w:hAnsi="方正仿宋_GBK" w:eastAsia="方正仿宋_GBK" w:cs="方正仿宋_GBK"/>
                <w:color w:val="auto"/>
                <w:sz w:val="21"/>
                <w:szCs w:val="21"/>
                <w:vertAlign w:val="baseline"/>
                <w:lang w:val="en-US" w:eastAsia="zh-CN"/>
              </w:rPr>
              <w:t>▲</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39</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沙参</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79</w:t>
            </w: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甜辣酱</w:t>
            </w: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90"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40</w:t>
            </w:r>
          </w:p>
        </w:tc>
        <w:tc>
          <w:tcPr>
            <w:tcW w:w="1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绿豆</w:t>
            </w:r>
          </w:p>
        </w:tc>
        <w:tc>
          <w:tcPr>
            <w:tcW w:w="9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65"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kern w:val="2"/>
                <w:sz w:val="21"/>
                <w:szCs w:val="21"/>
                <w:vertAlign w:val="baseline"/>
                <w:lang w:val="en-US" w:eastAsia="zh-CN" w:bidi="ar-SA"/>
              </w:rPr>
            </w:pPr>
          </w:p>
        </w:tc>
        <w:tc>
          <w:tcPr>
            <w:tcW w:w="21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lang w:val="en-US" w:eastAsia="zh-CN"/>
              </w:rPr>
            </w:pPr>
          </w:p>
        </w:tc>
        <w:tc>
          <w:tcPr>
            <w:tcW w:w="1260" w:type="dxa"/>
            <w:gridSpan w:val="2"/>
            <w:vMerge w:val="continue"/>
          </w:tcPr>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1"/>
                <w:szCs w:val="21"/>
                <w:vertAlign w:val="baseline"/>
                <w:lang w:val="en-US" w:eastAsia="zh-CN"/>
              </w:rPr>
            </w:pPr>
          </w:p>
        </w:tc>
      </w:tr>
    </w:tbl>
    <w:p>
      <w:pPr>
        <w:pStyle w:val="40"/>
        <w:ind w:firstLine="560" w:firstLineChars="200"/>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注：1、包含但不限于以上清单中的种类，结算时以实际配送数量据实结算。</w:t>
      </w:r>
    </w:p>
    <w:p>
      <w:pPr>
        <w:numPr>
          <w:ilvl w:val="0"/>
          <w:numId w:val="0"/>
        </w:numPr>
        <w:ind w:firstLine="1120" w:firstLineChars="400"/>
        <w:rPr>
          <w:rFonts w:hint="default"/>
          <w:lang w:val="en-US" w:eastAsia="zh-CN"/>
        </w:rPr>
      </w:pPr>
      <w:r>
        <w:rPr>
          <w:rFonts w:hint="eastAsia" w:ascii="方正仿宋_GBK" w:hAnsi="方正仿宋_GBK" w:eastAsia="方正仿宋_GBK" w:cs="方正仿宋_GBK"/>
          <w:color w:val="auto"/>
          <w:kern w:val="0"/>
          <w:sz w:val="28"/>
          <w:szCs w:val="28"/>
          <w:lang w:val="en-US" w:eastAsia="zh-CN" w:bidi="ar"/>
        </w:rPr>
        <w:t>2、以上清单中带</w:t>
      </w:r>
      <w:r>
        <w:rPr>
          <w:rFonts w:hint="eastAsia" w:ascii="方正仿宋_GBK" w:hAnsi="方正仿宋_GBK" w:eastAsia="方正仿宋_GBK" w:cs="方正仿宋_GBK"/>
          <w:color w:val="auto"/>
          <w:sz w:val="28"/>
          <w:szCs w:val="28"/>
          <w:vertAlign w:val="baseline"/>
          <w:lang w:val="en-US" w:eastAsia="zh-CN"/>
        </w:rPr>
        <w:t>★的产品须提供由国家认可的检测机构出具的完整的检测报告复印件（2022年1月至今），未提供或提供的检测报告不齐全的响应文件作无效处理。</w:t>
      </w:r>
    </w:p>
    <w:p>
      <w:pPr>
        <w:pStyle w:val="40"/>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质量要求：</w:t>
      </w:r>
    </w:p>
    <w:p>
      <w:pPr>
        <w:spacing w:line="360" w:lineRule="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 xml:space="preserve">    1、响应产品必须符合国家相关标准和强制性规定要求，为质量合格产品。所列产品标准如国家有调整的，应以调整后的最新标准为准。产品生产（包括原料采购、加工、运输、贮存等）应满足《GB14881-2013食品安全国家标准食品生产通用卫生规范》及相应产品的标准要求。</w:t>
      </w:r>
    </w:p>
    <w:p>
      <w:pPr>
        <w:pStyle w:val="40"/>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技术参数：</w:t>
      </w:r>
    </w:p>
    <w:p>
      <w:pPr>
        <w:spacing w:line="500" w:lineRule="exact"/>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粮油类：</w:t>
      </w:r>
    </w:p>
    <w:p>
      <w:pPr>
        <w:spacing w:line="360" w:lineRule="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 xml:space="preserve">    1、面粉类：具有正常的色，香味，无结块、无受潮、无霉变、无虫害；须独立包装，包装上须带有生产日期、保质期及国家生产许可信息标识。符合国家标准（如GB2761、GB2715、GB/T1355等）和国家卫生、安全标准要求。（提供具有检测资质的第三方检测机构出具的检测报告）；</w:t>
      </w:r>
    </w:p>
    <w:p>
      <w:pPr>
        <w:spacing w:line="360" w:lineRule="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 xml:space="preserve">    2、大米类：具有正常的色，香味，无结块、无受潮、无霉变、无虫害。须独立包装，包装上须带有生产日期、保质期及国家生产许可信息标识，不得采购散装大米。符合GB/T 1354-2018《大米》（大米质量指标 籼米一级）、GB2761-2017《食品安全国家标准 食品中真菌毒素限量》、GB 2726-2017《食品安全国家标准 食品中污染物限量》、GB2763-2019《食品安全国家标准 食品中农药最大残留限量》、GB2715-2016《食品安全国家标准粮食》标准要求；</w:t>
      </w:r>
    </w:p>
    <w:p>
      <w:pPr>
        <w:spacing w:line="360" w:lineRule="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 xml:space="preserve">    3、食用油类：非转基因压榨菜籽油三级及以上，符合食用植物油国家标准（如GB 2716、GB /T1536、GB 19641等)要求和国家卫生、安全标准要求；颜色清澈，透明度高，无沉淀物，无分层现象；须独立包装，包装上须带有生产日期、保质期及国家生产许可信息标识。</w:t>
      </w:r>
    </w:p>
    <w:p>
      <w:pPr>
        <w:pStyle w:val="40"/>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干杂类及调味品：</w:t>
      </w:r>
    </w:p>
    <w:p>
      <w:pPr>
        <w:spacing w:line="360" w:lineRule="auto"/>
        <w:ind w:firstLine="560" w:firstLineChars="200"/>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预包装食品：须保证规格品种完全符合采购方要求，包装规格、口味、种类齐全。保质期在3天以内的，送货日期不超过成产日期1天的；保质期在7天以内的，送货日不超过生产日两日；保质期在6个月以内的，送货日至保质期到期日的天数必须大于保质期天数的三分之二；6个月以上的，送货日至保质期到期日的天数必须大于保质期天数的百分之八十。</w:t>
      </w:r>
    </w:p>
    <w:p>
      <w:pPr>
        <w:spacing w:line="360" w:lineRule="auto"/>
        <w:ind w:firstLine="560" w:firstLineChars="200"/>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2、调味品原料应为非转基因产品，独立定型包装。调味品产品质量标准应符合GB 18186-2000 酿造酱油、GB 18187-2000 酿造食醋、GB 2721-2015 食品安全国家标准食用盐、QBT 4510-2013 食盐小包装制作技术规范等国家相关行业标准和强制性规定。产品包装应符合国家食品包装的要求；包装完整、无渗漏、无破损；应有SC食品安全认证或有食品生产许可证编号；包装上应注明产品名称、配料表、质量等级、产地、生产日期、保质期、产品标准。</w:t>
      </w:r>
    </w:p>
    <w:p>
      <w:pPr>
        <w:spacing w:line="360" w:lineRule="auto"/>
        <w:ind w:firstLine="560" w:firstLineChars="200"/>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3、散装类食品：应提供原包装的包装产品信息，包括但不限于产品名称、配料表、质量等级、产地、生产日期、保质期、产品标准等；</w:t>
      </w:r>
    </w:p>
    <w:p>
      <w:pPr>
        <w:spacing w:line="360" w:lineRule="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 xml:space="preserve">    4、不得含有二氧化硫和非法使用添加剂；重金属元素、农药残留不得超标，须优质、无感官异常。必须符合国家《食品安全法》和国务院《关于加强食品安全监督管理的特别规定》。</w:t>
      </w:r>
    </w:p>
    <w:p>
      <w:pPr>
        <w:spacing w:line="360" w:lineRule="auto"/>
        <w:ind w:firstLine="560"/>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5、干货制品的质量基本标准要求符合国家相关行业标准，干爽，不霉烂、整齐、均匀、完整，无虫蛀、无杂质，保持应有的色泽。确保产品质量稳定，保证营养丰富、绿色安全、易存放、 食用方便，保质期长。从加工、包装、运输、贮存到销售全部符合国家规定标准。</w:t>
      </w:r>
    </w:p>
    <w:p>
      <w:pPr>
        <w:pStyle w:val="2"/>
        <w:spacing w:line="360" w:lineRule="auto"/>
        <w:ind w:firstLine="560" w:firstLineChars="200"/>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6、鸡蛋：产品规格：蛋壳光滑、干净，无破损，无沙壳、畸形、麻点；蛋黄蛋清界限分明；送货时间距产蛋时间不超过一周。产品质量：符合国家卫生、安全标准要求，保证质保期内新鲜、卫生、安全。色泽：具有禽蛋固有的色泽。组织形状：蛋壳清洁、无破裂，灯光透视时，整个蛋呈橘黄色至橙红色，蛋黄不见或略见阴影，打开后蛋黄凸起、完整、有韧性，蛋白澄清透明、稀稠分明。气味：具有产品固有的气味，无异味。杂质：无杂质，内容物不得有血块或其他组织异物。</w:t>
      </w:r>
    </w:p>
    <w:p>
      <w:pPr>
        <w:pStyle w:val="2"/>
        <w:ind w:firstLine="560"/>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7、生鲜鸡蛋具有《中华人民共和国农产品质量安全法》且符合GB2749-2015标准。</w:t>
      </w:r>
    </w:p>
    <w:p>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（二）商务要求</w:t>
      </w:r>
    </w:p>
    <w:tbl>
      <w:tblPr>
        <w:tblStyle w:val="2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11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jc w:val="center"/>
              <w:rPr>
                <w:rFonts w:hint="eastAsia" w:ascii="方正仿宋_GBK" w:hAnsi="方正仿宋_GBK" w:eastAsia="方正仿宋_GBK" w:cs="方正仿宋_GBK"/>
                <w:b/>
                <w:color w:val="auto"/>
                <w:sz w:val="21"/>
                <w:szCs w:val="21"/>
                <w:lang w:val="zh-CN"/>
              </w:rPr>
            </w:pPr>
            <w:r>
              <w:rPr>
                <w:rFonts w:hint="eastAsia" w:ascii="方正仿宋_GBK" w:hAnsi="方正仿宋_GBK" w:eastAsia="方正仿宋_GBK" w:cs="方正仿宋_GBK"/>
                <w:b/>
                <w:color w:val="auto"/>
                <w:sz w:val="21"/>
                <w:szCs w:val="21"/>
                <w:lang w:val="zh-CN"/>
              </w:rPr>
              <w:t>序号</w:t>
            </w:r>
          </w:p>
        </w:tc>
        <w:tc>
          <w:tcPr>
            <w:tcW w:w="1167" w:type="dxa"/>
            <w:vAlign w:val="center"/>
          </w:tcPr>
          <w:p>
            <w:pPr>
              <w:pStyle w:val="39"/>
              <w:spacing w:line="360" w:lineRule="auto"/>
              <w:jc w:val="center"/>
              <w:rPr>
                <w:rFonts w:hint="eastAsia" w:ascii="方正仿宋_GBK" w:hAnsi="方正仿宋_GBK" w:eastAsia="方正仿宋_GBK" w:cs="方正仿宋_GBK"/>
                <w:b/>
                <w:color w:val="auto"/>
                <w:sz w:val="21"/>
                <w:szCs w:val="21"/>
                <w:lang w:val="zh-CN"/>
              </w:rPr>
            </w:pPr>
            <w:r>
              <w:rPr>
                <w:rFonts w:hint="eastAsia" w:ascii="方正仿宋_GBK" w:hAnsi="方正仿宋_GBK" w:eastAsia="方正仿宋_GBK" w:cs="方正仿宋_GBK"/>
                <w:b/>
                <w:color w:val="auto"/>
                <w:sz w:val="21"/>
                <w:szCs w:val="21"/>
                <w:lang w:val="zh-CN"/>
              </w:rPr>
              <w:t>内容</w:t>
            </w:r>
          </w:p>
        </w:tc>
        <w:tc>
          <w:tcPr>
            <w:tcW w:w="6804" w:type="dxa"/>
            <w:vAlign w:val="center"/>
          </w:tcPr>
          <w:p>
            <w:pPr>
              <w:pStyle w:val="39"/>
              <w:spacing w:line="360" w:lineRule="auto"/>
              <w:ind w:left="210" w:leftChars="100"/>
              <w:jc w:val="center"/>
              <w:rPr>
                <w:rFonts w:hint="eastAsia" w:ascii="方正仿宋_GBK" w:hAnsi="方正仿宋_GBK" w:eastAsia="方正仿宋_GBK" w:cs="方正仿宋_GBK"/>
                <w:b/>
                <w:color w:val="auto"/>
                <w:sz w:val="21"/>
                <w:szCs w:val="21"/>
                <w:lang w:val="zh-CN"/>
              </w:rPr>
            </w:pPr>
            <w:r>
              <w:rPr>
                <w:rFonts w:hint="eastAsia" w:ascii="方正仿宋_GBK" w:hAnsi="方正仿宋_GBK" w:eastAsia="方正仿宋_GBK" w:cs="方正仿宋_GBK"/>
                <w:b/>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58" w:type="dxa"/>
            <w:gridSpan w:val="3"/>
            <w:vAlign w:val="center"/>
          </w:tcPr>
          <w:p>
            <w:pPr>
              <w:spacing w:line="360" w:lineRule="auto"/>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一、配送时间地点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jc w:val="center"/>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sz w:val="21"/>
                <w:szCs w:val="21"/>
                <w:lang w:val="zh-CN"/>
              </w:rPr>
              <w:t>1</w:t>
            </w:r>
          </w:p>
        </w:tc>
        <w:tc>
          <w:tcPr>
            <w:tcW w:w="1167" w:type="dxa"/>
            <w:vAlign w:val="center"/>
          </w:tcPr>
          <w:p>
            <w:pPr>
              <w:spacing w:line="360" w:lineRule="auto"/>
              <w:jc w:val="center"/>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kern w:val="0"/>
                <w:sz w:val="21"/>
                <w:szCs w:val="21"/>
                <w:lang w:val="zh-CN" w:eastAsia="zh-CN" w:bidi="ar-SA"/>
              </w:rPr>
              <w:t>配送时间</w:t>
            </w:r>
          </w:p>
        </w:tc>
        <w:tc>
          <w:tcPr>
            <w:tcW w:w="6804" w:type="dxa"/>
            <w:vAlign w:val="center"/>
          </w:tcPr>
          <w:p>
            <w:pPr>
              <w:spacing w:line="360" w:lineRule="auto"/>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kern w:val="0"/>
                <w:sz w:val="21"/>
                <w:szCs w:val="21"/>
                <w:lang w:val="zh-CN" w:eastAsia="zh-CN" w:bidi="ar-SA"/>
              </w:rPr>
              <w:t>成交供应商须在每个工作日上午7点前完成产品配送。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jc w:val="center"/>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sz w:val="21"/>
                <w:szCs w:val="21"/>
                <w:lang w:val="zh-CN"/>
              </w:rPr>
              <w:t>2</w:t>
            </w:r>
          </w:p>
        </w:tc>
        <w:tc>
          <w:tcPr>
            <w:tcW w:w="1167" w:type="dxa"/>
            <w:vAlign w:val="center"/>
          </w:tcPr>
          <w:p>
            <w:pPr>
              <w:pStyle w:val="39"/>
              <w:spacing w:line="360" w:lineRule="auto"/>
              <w:jc w:val="center"/>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sz w:val="21"/>
                <w:szCs w:val="21"/>
                <w:lang w:val="zh-CN"/>
              </w:rPr>
              <w:t>配送地点</w:t>
            </w:r>
          </w:p>
        </w:tc>
        <w:tc>
          <w:tcPr>
            <w:tcW w:w="6804" w:type="dxa"/>
            <w:vAlign w:val="center"/>
          </w:tcPr>
          <w:p>
            <w:pPr>
              <w:spacing w:line="360" w:lineRule="auto"/>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kern w:val="0"/>
                <w:sz w:val="21"/>
                <w:szCs w:val="21"/>
                <w:lang w:val="zh-CN" w:eastAsia="zh-CN" w:bidi="ar-SA"/>
              </w:rPr>
              <w:t>以采购人与成交供应商合同中约定的具体交货地点为准。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58" w:type="dxa"/>
            <w:gridSpan w:val="3"/>
            <w:vAlign w:val="center"/>
          </w:tcPr>
          <w:p>
            <w:pPr>
              <w:pStyle w:val="39"/>
              <w:spacing w:line="360" w:lineRule="auto"/>
              <w:jc w:val="both"/>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二、食材配送要求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jc w:val="center"/>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zh-CN" w:eastAsia="zh-CN" w:bidi="ar-SA"/>
              </w:rPr>
              <w:t>3</w:t>
            </w:r>
          </w:p>
        </w:tc>
        <w:tc>
          <w:tcPr>
            <w:tcW w:w="1167" w:type="dxa"/>
            <w:vAlign w:val="center"/>
          </w:tcPr>
          <w:p>
            <w:pPr>
              <w:pStyle w:val="39"/>
              <w:spacing w:line="360" w:lineRule="auto"/>
              <w:jc w:val="center"/>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en-US" w:eastAsia="zh-CN" w:bidi="ar-SA"/>
              </w:rPr>
              <w:t>包装与标识要求</w:t>
            </w:r>
          </w:p>
        </w:tc>
        <w:tc>
          <w:tcPr>
            <w:tcW w:w="6804" w:type="dxa"/>
            <w:vAlign w:val="center"/>
          </w:tcPr>
          <w:p>
            <w:pPr>
              <w:spacing w:line="360" w:lineRule="auto"/>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kern w:val="0"/>
                <w:sz w:val="21"/>
                <w:szCs w:val="21"/>
                <w:lang w:val="zh-CN" w:eastAsia="zh-CN" w:bidi="ar-SA"/>
              </w:rPr>
              <w:t>预包装食品包装完整，无损坏，标识符合国家标准。成交供应商所提供产品质量应当要符合国家食品安全标准要求，不得有掺假、变质、变味、过期等现象出现，严禁伪劣、假冒、无证及不合格物品进入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7" w:type="dxa"/>
            <w:vAlign w:val="center"/>
          </w:tcPr>
          <w:p>
            <w:pPr>
              <w:pStyle w:val="39"/>
              <w:spacing w:line="360" w:lineRule="auto"/>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c>
          <w:tcPr>
            <w:tcW w:w="1167" w:type="dxa"/>
            <w:vAlign w:val="center"/>
          </w:tcPr>
          <w:p>
            <w:pPr>
              <w:pStyle w:val="39"/>
              <w:spacing w:line="360" w:lineRule="auto"/>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kern w:val="0"/>
                <w:sz w:val="21"/>
                <w:szCs w:val="21"/>
                <w:lang w:val="en-US" w:eastAsia="zh-CN" w:bidi="ar-SA"/>
              </w:rPr>
              <w:t>运输要求</w:t>
            </w:r>
          </w:p>
        </w:tc>
        <w:tc>
          <w:tcPr>
            <w:tcW w:w="6804" w:type="dxa"/>
            <w:vAlign w:val="center"/>
          </w:tcPr>
          <w:p>
            <w:pPr>
              <w:pStyle w:val="39"/>
              <w:spacing w:line="360" w:lineRule="auto"/>
              <w:jc w:val="both"/>
              <w:rPr>
                <w:rFonts w:hint="eastAsia" w:ascii="方正仿宋_GBK" w:hAnsi="方正仿宋_GBK" w:eastAsia="方正仿宋_GBK" w:cs="方正仿宋_GBK"/>
                <w:color w:val="auto"/>
                <w:sz w:val="21"/>
                <w:szCs w:val="21"/>
                <w:lang w:val="zh-CN"/>
              </w:rPr>
            </w:pPr>
            <w:r>
              <w:rPr>
                <w:rFonts w:hint="eastAsia" w:ascii="方正仿宋_GBK" w:hAnsi="方正仿宋_GBK" w:eastAsia="方正仿宋_GBK" w:cs="方正仿宋_GBK"/>
                <w:color w:val="auto"/>
                <w:kern w:val="0"/>
                <w:sz w:val="21"/>
                <w:szCs w:val="21"/>
                <w:lang w:val="zh-CN" w:eastAsia="zh-CN" w:bidi="ar-SA"/>
              </w:rPr>
              <w:t>（</w:t>
            </w:r>
            <w:r>
              <w:rPr>
                <w:rFonts w:hint="eastAsia" w:ascii="方正仿宋_GBK" w:hAnsi="方正仿宋_GBK" w:eastAsia="方正仿宋_GBK" w:cs="方正仿宋_GBK"/>
                <w:color w:val="auto"/>
                <w:kern w:val="0"/>
                <w:sz w:val="21"/>
                <w:szCs w:val="21"/>
                <w:lang w:val="en-US" w:eastAsia="zh-CN" w:bidi="ar-SA"/>
              </w:rPr>
              <w:t>1</w:t>
            </w:r>
            <w:r>
              <w:rPr>
                <w:rFonts w:hint="eastAsia" w:ascii="方正仿宋_GBK" w:hAnsi="方正仿宋_GBK" w:eastAsia="方正仿宋_GBK" w:cs="方正仿宋_GBK"/>
                <w:color w:val="auto"/>
                <w:kern w:val="0"/>
                <w:sz w:val="21"/>
                <w:szCs w:val="21"/>
                <w:lang w:val="zh-CN" w:eastAsia="zh-CN" w:bidi="ar-SA"/>
              </w:rPr>
              <w:t>）运输工具应清洁卫生无污染，食品运输应当采用符合卫生标准的外包装和运载工具，并且要保持清洁和定期消毒。（</w:t>
            </w:r>
            <w:r>
              <w:rPr>
                <w:rFonts w:hint="eastAsia" w:ascii="方正仿宋_GBK" w:hAnsi="方正仿宋_GBK" w:eastAsia="方正仿宋_GBK" w:cs="方正仿宋_GBK"/>
                <w:color w:val="auto"/>
                <w:kern w:val="0"/>
                <w:sz w:val="21"/>
                <w:szCs w:val="21"/>
                <w:lang w:val="en-US" w:eastAsia="zh-CN" w:bidi="ar-SA"/>
              </w:rPr>
              <w:t>2</w:t>
            </w:r>
            <w:r>
              <w:rPr>
                <w:rFonts w:hint="eastAsia" w:ascii="方正仿宋_GBK" w:hAnsi="方正仿宋_GBK" w:eastAsia="方正仿宋_GBK" w:cs="方正仿宋_GBK"/>
                <w:color w:val="auto"/>
                <w:kern w:val="0"/>
                <w:sz w:val="21"/>
                <w:szCs w:val="21"/>
                <w:lang w:val="zh-CN" w:eastAsia="zh-CN" w:bidi="ar-SA"/>
              </w:rPr>
              <w:t>）运输车厢的内仓，应使用抗腐蚀、防潮，易清洁、消毒的材料。车厢内无不良气味、异味；（</w:t>
            </w:r>
            <w:r>
              <w:rPr>
                <w:rFonts w:hint="eastAsia" w:ascii="方正仿宋_GBK" w:hAnsi="方正仿宋_GBK" w:eastAsia="方正仿宋_GBK" w:cs="方正仿宋_GBK"/>
                <w:color w:val="auto"/>
                <w:kern w:val="0"/>
                <w:sz w:val="21"/>
                <w:szCs w:val="21"/>
                <w:lang w:val="en-US" w:eastAsia="zh-CN" w:bidi="ar-SA"/>
              </w:rPr>
              <w:t>3</w:t>
            </w:r>
            <w:r>
              <w:rPr>
                <w:rFonts w:hint="eastAsia" w:ascii="方正仿宋_GBK" w:hAnsi="方正仿宋_GBK" w:eastAsia="方正仿宋_GBK" w:cs="方正仿宋_GBK"/>
                <w:color w:val="auto"/>
                <w:kern w:val="0"/>
                <w:sz w:val="21"/>
                <w:szCs w:val="21"/>
                <w:lang w:val="zh-CN" w:eastAsia="zh-CN" w:bidi="ar-SA"/>
              </w:rPr>
              <w:t>）运输途中食材严防日晒、雨淋，注意通风散热；（</w:t>
            </w:r>
            <w:r>
              <w:rPr>
                <w:rFonts w:hint="eastAsia" w:ascii="方正仿宋_GBK" w:hAnsi="方正仿宋_GBK" w:eastAsia="方正仿宋_GBK" w:cs="方正仿宋_GBK"/>
                <w:color w:val="auto"/>
                <w:kern w:val="0"/>
                <w:sz w:val="21"/>
                <w:szCs w:val="21"/>
                <w:lang w:val="en-US" w:eastAsia="zh-CN" w:bidi="ar-SA"/>
              </w:rPr>
              <w:t>4</w:t>
            </w:r>
            <w:r>
              <w:rPr>
                <w:rFonts w:hint="eastAsia" w:ascii="方正仿宋_GBK" w:hAnsi="方正仿宋_GBK" w:eastAsia="方正仿宋_GBK" w:cs="方正仿宋_GBK"/>
                <w:color w:val="auto"/>
                <w:kern w:val="0"/>
                <w:sz w:val="21"/>
                <w:szCs w:val="21"/>
                <w:lang w:val="zh-CN" w:eastAsia="zh-CN" w:bidi="ar-SA"/>
              </w:rPr>
              <w:t>）食品堆放科学合理，避免造成食品的交叉污染；（</w:t>
            </w:r>
            <w:r>
              <w:rPr>
                <w:rFonts w:hint="eastAsia" w:ascii="方正仿宋_GBK" w:hAnsi="方正仿宋_GBK" w:eastAsia="方正仿宋_GBK" w:cs="方正仿宋_GBK"/>
                <w:color w:val="auto"/>
                <w:kern w:val="0"/>
                <w:sz w:val="21"/>
                <w:szCs w:val="21"/>
                <w:lang w:val="en-US" w:eastAsia="zh-CN" w:bidi="ar-SA"/>
              </w:rPr>
              <w:t>5</w:t>
            </w:r>
            <w:r>
              <w:rPr>
                <w:rFonts w:hint="eastAsia" w:ascii="方正仿宋_GBK" w:hAnsi="方正仿宋_GBK" w:eastAsia="方正仿宋_GBK" w:cs="方正仿宋_GBK"/>
                <w:color w:val="auto"/>
                <w:kern w:val="0"/>
                <w:sz w:val="21"/>
                <w:szCs w:val="21"/>
                <w:lang w:val="zh-CN" w:eastAsia="zh-CN" w:bidi="ar-SA"/>
              </w:rPr>
              <w:t>）如对温度有要求的食品应确定食品的温度，记录送货车辆温度，并记录存档。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7" w:type="dxa"/>
            <w:vAlign w:val="center"/>
          </w:tcPr>
          <w:p>
            <w:pPr>
              <w:pStyle w:val="39"/>
              <w:spacing w:line="360" w:lineRule="auto"/>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w:t>
            </w:r>
          </w:p>
        </w:tc>
        <w:tc>
          <w:tcPr>
            <w:tcW w:w="1167" w:type="dxa"/>
            <w:vAlign w:val="center"/>
          </w:tcPr>
          <w:p>
            <w:pPr>
              <w:pStyle w:val="39"/>
              <w:spacing w:line="360" w:lineRule="auto"/>
              <w:jc w:val="center"/>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人员要求</w:t>
            </w:r>
          </w:p>
        </w:tc>
        <w:tc>
          <w:tcPr>
            <w:tcW w:w="6804" w:type="dxa"/>
            <w:vAlign w:val="center"/>
          </w:tcPr>
          <w:p>
            <w:pPr>
              <w:spacing w:line="500" w:lineRule="exact"/>
              <w:ind w:firstLine="420" w:firstLineChars="200"/>
              <w:jc w:val="left"/>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zh-CN" w:eastAsia="zh-CN" w:bidi="ar-SA"/>
              </w:rPr>
              <w:t>项目经理人员数量1名，司机不少于1名。配送工作人员必须提供三年内无犯罪、吸毒史的承诺或公安机关出具的相关证明，以及卫生防疫部门出具的健康合格证明，配送人员必须穿着便于辨认的工衣和配戴胸卡。配送供应商须为本项目确定一名项目经理，主要负责与采购人进行业务上的联系往来，合同期内不得更换，如遇不可抗力必须更换，须事先征得采购人同意之后才能更换，因配送供应商未遵守上述规定而导致无法正常进入采购人单位内送货的，所有后果及经济损失由配送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p>
        </w:tc>
        <w:tc>
          <w:tcPr>
            <w:tcW w:w="1167" w:type="dxa"/>
            <w:vAlign w:val="center"/>
          </w:tcPr>
          <w:p>
            <w:pPr>
              <w:pStyle w:val="39"/>
              <w:spacing w:line="360" w:lineRule="auto"/>
              <w:jc w:val="center"/>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zh-CN" w:eastAsia="zh-CN" w:bidi="ar-SA"/>
              </w:rPr>
              <w:t>数量方面</w:t>
            </w:r>
          </w:p>
          <w:p>
            <w:pPr>
              <w:pStyle w:val="39"/>
              <w:spacing w:line="360" w:lineRule="auto"/>
              <w:jc w:val="center"/>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zh-CN" w:eastAsia="zh-CN" w:bidi="ar-SA"/>
              </w:rPr>
              <w:t>要求</w:t>
            </w:r>
          </w:p>
        </w:tc>
        <w:tc>
          <w:tcPr>
            <w:tcW w:w="6804" w:type="dxa"/>
            <w:vAlign w:val="center"/>
          </w:tcPr>
          <w:p>
            <w:pPr>
              <w:pStyle w:val="39"/>
              <w:spacing w:line="360" w:lineRule="auto"/>
              <w:jc w:val="both"/>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zh-CN" w:eastAsia="zh-CN" w:bidi="ar-SA"/>
              </w:rPr>
              <w:t>成交供应商每次随货送上一式两份的送货清单（格式自定，至少包括货物名称、单位、单价、数量及总金额），供双方验货后签字确认，双方各持一份，作为送、收货的凭证。成交供应商应当保证配送品种斤两的准确性，由采购人指定负责人验收过秤记录，以采购人的验货数量为准。对于不符合质量的品种采购人可退货或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w:t>
            </w:r>
          </w:p>
        </w:tc>
        <w:tc>
          <w:tcPr>
            <w:tcW w:w="1167" w:type="dxa"/>
            <w:vAlign w:val="center"/>
          </w:tcPr>
          <w:p>
            <w:pPr>
              <w:pStyle w:val="39"/>
              <w:spacing w:line="360" w:lineRule="auto"/>
              <w:ind w:firstLine="210" w:firstLine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临时供货</w:t>
            </w:r>
          </w:p>
        </w:tc>
        <w:tc>
          <w:tcPr>
            <w:tcW w:w="6804" w:type="dxa"/>
            <w:vAlign w:val="center"/>
          </w:tcPr>
          <w:p>
            <w:pPr>
              <w:pStyle w:val="39"/>
              <w:spacing w:line="360" w:lineRule="auto"/>
              <w:jc w:val="both"/>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zh-CN" w:eastAsia="zh-CN" w:bidi="ar-SA"/>
              </w:rPr>
              <w:t>对采购人临时的供货要求，应当随订随送，并在10分钟内提出解决方案，在30分钟内送达货物。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58" w:type="dxa"/>
            <w:gridSpan w:val="3"/>
            <w:vAlign w:val="center"/>
          </w:tcPr>
          <w:p>
            <w:pPr>
              <w:spacing w:line="360" w:lineRule="auto"/>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en-US" w:eastAsia="zh-CN" w:bidi="ar-SA"/>
              </w:rPr>
              <w:t>三、定价、结算与付款方式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w:t>
            </w:r>
          </w:p>
        </w:tc>
        <w:tc>
          <w:tcPr>
            <w:tcW w:w="1167" w:type="dxa"/>
            <w:vAlign w:val="center"/>
          </w:tcPr>
          <w:p>
            <w:pPr>
              <w:pStyle w:val="39"/>
              <w:spacing w:line="360" w:lineRule="auto"/>
              <w:ind w:firstLine="210" w:firstLine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定价方式</w:t>
            </w:r>
          </w:p>
        </w:tc>
        <w:tc>
          <w:tcPr>
            <w:tcW w:w="6804" w:type="dxa"/>
            <w:vAlign w:val="center"/>
          </w:tcPr>
          <w:p>
            <w:pPr>
              <w:spacing w:line="360" w:lineRule="auto"/>
              <w:rPr>
                <w:rFonts w:hint="default"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每15天报价一次，根据每15天“市发改委价格监测中心民生主要商品零售价格”对应品种的平均价格为基准价；未纳入监测的以采购人和供应商双方调查的市场价为基准价。（本次报价按下浮后的价格）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w:t>
            </w:r>
          </w:p>
        </w:tc>
        <w:tc>
          <w:tcPr>
            <w:tcW w:w="1167" w:type="dxa"/>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结算方式</w:t>
            </w:r>
          </w:p>
        </w:tc>
        <w:tc>
          <w:tcPr>
            <w:tcW w:w="6804" w:type="dxa"/>
            <w:vAlign w:val="center"/>
          </w:tcPr>
          <w:p>
            <w:pPr>
              <w:spacing w:line="360" w:lineRule="auto"/>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（1）采购人订购品种的结算价格，用以上定价方式为计算依据，结算时按成交下浮率计算。（每月结算一次）</w:t>
            </w:r>
          </w:p>
          <w:p>
            <w:pPr>
              <w:spacing w:line="360" w:lineRule="auto"/>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（2）结算公式：各类产品货款＝【对应品种的基准价×（1-成交下浮率）×实际供货量】。</w:t>
            </w:r>
          </w:p>
          <w:p>
            <w:pPr>
              <w:spacing w:line="360" w:lineRule="auto"/>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en-US" w:eastAsia="zh-CN" w:bidi="ar-SA"/>
              </w:rPr>
              <w:t>（3）合同执行期内，不论成交供应商供应货物的来源何地均按成交下浮率结算，合同期内成交下浮率不作调整。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c>
          <w:tcPr>
            <w:tcW w:w="1167" w:type="dxa"/>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付款方式</w:t>
            </w:r>
          </w:p>
        </w:tc>
        <w:tc>
          <w:tcPr>
            <w:tcW w:w="6804" w:type="dxa"/>
            <w:vAlign w:val="center"/>
          </w:tcPr>
          <w:p>
            <w:pPr>
              <w:pStyle w:val="39"/>
              <w:spacing w:line="360" w:lineRule="auto"/>
              <w:jc w:val="both"/>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color w:val="auto"/>
                <w:kern w:val="0"/>
                <w:sz w:val="21"/>
                <w:szCs w:val="21"/>
                <w:lang w:val="en-US" w:eastAsia="zh-CN" w:bidi="ar-SA"/>
              </w:rPr>
              <w:t>每月结算一次，在办理付款手续之前双方应对供应货物的品种、数量、单价、金额等进行统计，并核实无误。之后，采购人在收到成交供应商提供的等额的正式发票之日起的15个工作日之内办理上月采购货物价款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58" w:type="dxa"/>
            <w:gridSpan w:val="3"/>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w:t>
            </w:r>
          </w:p>
        </w:tc>
        <w:tc>
          <w:tcPr>
            <w:tcW w:w="1167" w:type="dxa"/>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食品安全责任保险</w:t>
            </w:r>
          </w:p>
        </w:tc>
        <w:tc>
          <w:tcPr>
            <w:tcW w:w="6804" w:type="dxa"/>
            <w:vAlign w:val="center"/>
          </w:tcPr>
          <w:p>
            <w:pPr>
              <w:pStyle w:val="39"/>
              <w:spacing w:line="360" w:lineRule="auto"/>
              <w:jc w:val="both"/>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供应商签合同前必须购买食品安全类责任保险，提供相关证明材料或承诺函原件。</w:t>
            </w:r>
            <w:r>
              <w:rPr>
                <w:rFonts w:hint="eastAsia" w:ascii="方正仿宋_GBK" w:hAnsi="方正仿宋_GBK" w:eastAsia="方正仿宋_GBK" w:cs="方正仿宋_GBK"/>
                <w:b/>
                <w:bCs/>
                <w:kern w:val="0"/>
                <w:sz w:val="21"/>
                <w:szCs w:val="21"/>
                <w:lang w:val="en-US" w:eastAsia="zh-CN" w:bidi="ar-SA"/>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tabs>
                <w:tab w:val="left" w:pos="615"/>
              </w:tabs>
              <w:spacing w:line="360" w:lineRule="auto"/>
              <w:ind w:left="210" w:leftChars="100"/>
              <w:jc w:val="both"/>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w:t>
            </w:r>
          </w:p>
        </w:tc>
        <w:tc>
          <w:tcPr>
            <w:tcW w:w="1167" w:type="dxa"/>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抽样检测</w:t>
            </w:r>
          </w:p>
        </w:tc>
        <w:tc>
          <w:tcPr>
            <w:tcW w:w="6804" w:type="dxa"/>
            <w:vAlign w:val="center"/>
          </w:tcPr>
          <w:p>
            <w:pPr>
              <w:pStyle w:val="39"/>
              <w:spacing w:line="360" w:lineRule="auto"/>
              <w:jc w:val="both"/>
              <w:rPr>
                <w:rFonts w:hint="eastAsia" w:ascii="方正仿宋_GBK" w:hAnsi="方正仿宋_GBK" w:eastAsia="方正仿宋_GBK" w:cs="方正仿宋_GBK"/>
                <w:b w:val="0"/>
                <w:bCs w:val="0"/>
                <w:color w:val="auto"/>
                <w:kern w:val="0"/>
                <w:sz w:val="21"/>
                <w:szCs w:val="21"/>
                <w:lang w:val="zh-CN" w:eastAsia="zh-CN" w:bidi="ar-SA"/>
              </w:rPr>
            </w:pPr>
            <w:r>
              <w:rPr>
                <w:rFonts w:hint="eastAsia" w:ascii="方正仿宋_GBK" w:hAnsi="方正仿宋_GBK" w:eastAsia="方正仿宋_GBK" w:cs="方正仿宋_GBK"/>
                <w:b w:val="0"/>
                <w:bCs w:val="0"/>
                <w:color w:val="auto"/>
                <w:kern w:val="0"/>
                <w:sz w:val="21"/>
                <w:szCs w:val="21"/>
                <w:lang w:val="en-US" w:eastAsia="zh-CN" w:bidi="ar-SA"/>
              </w:rPr>
              <w:t>采购人有权不定期对所配送的产品进行</w:t>
            </w:r>
            <w:r>
              <w:rPr>
                <w:rFonts w:hint="eastAsia" w:ascii="方正仿宋_GBK" w:hAnsi="方正仿宋_GBK" w:eastAsia="方正仿宋_GBK" w:cs="方正仿宋_GBK"/>
                <w:b w:val="0"/>
                <w:bCs w:val="0"/>
                <w:color w:val="auto"/>
                <w:kern w:val="0"/>
                <w:sz w:val="21"/>
                <w:szCs w:val="21"/>
                <w:lang w:val="en-US" w:eastAsia="zh-CN" w:bidi="ar"/>
              </w:rPr>
              <w:t>农药残留</w:t>
            </w:r>
            <w:r>
              <w:rPr>
                <w:rFonts w:hint="eastAsia" w:ascii="方正仿宋_GBK" w:hAnsi="方正仿宋_GBK" w:eastAsia="方正仿宋_GBK" w:cs="方正仿宋_GBK"/>
                <w:b w:val="0"/>
                <w:bCs w:val="0"/>
                <w:color w:val="auto"/>
                <w:kern w:val="0"/>
                <w:sz w:val="21"/>
                <w:szCs w:val="21"/>
                <w:lang w:val="en-US" w:eastAsia="zh-CN" w:bidi="ar-SA"/>
              </w:rPr>
              <w:t>抽样检测，经采购人发现</w:t>
            </w:r>
            <w:r>
              <w:rPr>
                <w:rFonts w:hint="eastAsia" w:ascii="方正仿宋_GBK" w:hAnsi="方正仿宋_GBK" w:eastAsia="方正仿宋_GBK" w:cs="方正仿宋_GBK"/>
                <w:b w:val="0"/>
                <w:bCs w:val="0"/>
                <w:color w:val="auto"/>
                <w:kern w:val="0"/>
                <w:sz w:val="21"/>
                <w:szCs w:val="21"/>
                <w:lang w:val="en-US" w:eastAsia="zh-CN" w:bidi="ar"/>
              </w:rPr>
              <w:t>农药残留</w:t>
            </w:r>
            <w:r>
              <w:rPr>
                <w:rFonts w:hint="eastAsia" w:ascii="方正仿宋_GBK" w:hAnsi="方正仿宋_GBK" w:eastAsia="方正仿宋_GBK" w:cs="方正仿宋_GBK"/>
                <w:b w:val="0"/>
                <w:bCs w:val="0"/>
                <w:color w:val="auto"/>
                <w:kern w:val="0"/>
                <w:sz w:val="21"/>
                <w:szCs w:val="21"/>
                <w:lang w:val="en-US" w:eastAsia="zh-CN" w:bidi="ar-SA"/>
              </w:rPr>
              <w:t>超标的，采购人将解除政府采购合同，并追究其法律责任。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w:t>
            </w:r>
          </w:p>
        </w:tc>
        <w:tc>
          <w:tcPr>
            <w:tcW w:w="1167" w:type="dxa"/>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供货质量</w:t>
            </w:r>
          </w:p>
        </w:tc>
        <w:tc>
          <w:tcPr>
            <w:tcW w:w="6804" w:type="dxa"/>
            <w:vAlign w:val="center"/>
          </w:tcPr>
          <w:p>
            <w:pPr>
              <w:pStyle w:val="39"/>
              <w:numPr>
                <w:ilvl w:val="0"/>
                <w:numId w:val="0"/>
              </w:numPr>
              <w:spacing w:line="360" w:lineRule="auto"/>
              <w:jc w:val="both"/>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1、成交供应商须保证所供货物均为符合国家卫生、质量检验标准的正规产品且无任何添加剂的优质产品，保证配送品种完全满足采购人要求。</w:t>
            </w:r>
          </w:p>
          <w:p>
            <w:pPr>
              <w:pStyle w:val="39"/>
              <w:spacing w:line="360" w:lineRule="auto"/>
              <w:jc w:val="both"/>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2、所有食材质量必须达到《中华人民共和国食品安全法》及相关法律法规的要求，供应商须在响应文件中作出食品安全保障承诺书。</w:t>
            </w:r>
            <w:r>
              <w:rPr>
                <w:rFonts w:hint="eastAsia" w:ascii="方正仿宋_GBK" w:hAnsi="方正仿宋_GBK" w:eastAsia="方正仿宋_GBK" w:cs="方正仿宋_GBK"/>
                <w:b/>
                <w:bCs/>
                <w:kern w:val="0"/>
                <w:sz w:val="21"/>
                <w:szCs w:val="21"/>
                <w:lang w:val="en-US" w:eastAsia="zh-CN" w:bidi="ar-SA"/>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14</w:t>
            </w:r>
          </w:p>
        </w:tc>
        <w:tc>
          <w:tcPr>
            <w:tcW w:w="1167" w:type="dxa"/>
            <w:vAlign w:val="center"/>
          </w:tcPr>
          <w:p>
            <w:pPr>
              <w:pStyle w:val="39"/>
              <w:spacing w:line="360" w:lineRule="auto"/>
              <w:ind w:left="210" w:leftChars="10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价格抽查</w:t>
            </w:r>
          </w:p>
        </w:tc>
        <w:tc>
          <w:tcPr>
            <w:tcW w:w="6804" w:type="dxa"/>
            <w:vAlign w:val="center"/>
          </w:tcPr>
          <w:p>
            <w:pPr>
              <w:pStyle w:val="39"/>
              <w:spacing w:line="360" w:lineRule="auto"/>
              <w:jc w:val="both"/>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bidi="ar-SA"/>
              </w:rPr>
              <w:t>采购人有权不定期对所配送的同类产品价格进行价格抽查，经发现所配送的产品（包含但不限于）原价高于市场价的和高于报价下浮的，采购人有权解除政府采购合同。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7" w:type="dxa"/>
            <w:vAlign w:val="center"/>
          </w:tcPr>
          <w:p>
            <w:pPr>
              <w:pStyle w:val="39"/>
              <w:spacing w:line="360" w:lineRule="auto"/>
              <w:ind w:left="210" w:leftChars="100"/>
              <w:jc w:val="both"/>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15</w:t>
            </w:r>
          </w:p>
        </w:tc>
        <w:tc>
          <w:tcPr>
            <w:tcW w:w="1167" w:type="dxa"/>
            <w:vAlign w:val="center"/>
          </w:tcPr>
          <w:p>
            <w:pPr>
              <w:pStyle w:val="39"/>
              <w:spacing w:line="360" w:lineRule="auto"/>
              <w:jc w:val="center"/>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验收</w:t>
            </w:r>
          </w:p>
        </w:tc>
        <w:tc>
          <w:tcPr>
            <w:tcW w:w="6804" w:type="dxa"/>
            <w:vAlign w:val="center"/>
          </w:tcPr>
          <w:p>
            <w:pPr>
              <w:pStyle w:val="39"/>
              <w:spacing w:line="360" w:lineRule="auto"/>
              <w:jc w:val="both"/>
              <w:rPr>
                <w:rFonts w:hint="eastAsia" w:ascii="方正仿宋_GBK" w:hAnsi="方正仿宋_GBK" w:eastAsia="方正仿宋_GBK" w:cs="方正仿宋_GBK"/>
                <w:color w:val="auto"/>
                <w:kern w:val="0"/>
                <w:sz w:val="21"/>
                <w:szCs w:val="21"/>
                <w:lang w:val="zh-CN" w:eastAsia="zh-CN" w:bidi="ar-SA"/>
              </w:rPr>
            </w:pPr>
            <w:r>
              <w:rPr>
                <w:rFonts w:hint="eastAsia" w:ascii="方正仿宋_GBK" w:hAnsi="方正仿宋_GBK" w:eastAsia="方正仿宋_GBK" w:cs="方正仿宋_GBK"/>
                <w:kern w:val="0"/>
                <w:sz w:val="21"/>
                <w:szCs w:val="21"/>
                <w:lang w:val="en-US" w:eastAsia="zh-CN" w:bidi="ar-SA"/>
              </w:rPr>
              <w:t>采购人验收货物时有不符合要求的，一律退回，成交供应商无条件重新更换配送货物，采购人有权对供应商处以当日需求计划总量价款赔付当日损失的罚款；更换后仍然不符合要求达3次以上的，采购人有权取消其供应资格。</w:t>
            </w:r>
          </w:p>
        </w:tc>
      </w:tr>
    </w:tbl>
    <w:p>
      <w:pPr>
        <w:pStyle w:val="4"/>
        <w:rPr>
          <w:rFonts w:hint="eastAsia" w:ascii="方正仿宋_GBK" w:hAnsi="方正仿宋_GBK" w:eastAsia="方正仿宋_GBK" w:cs="方正仿宋_GBK"/>
          <w:b w:val="0"/>
          <w:bCs w:val="0"/>
          <w:color w:val="auto"/>
          <w:kern w:val="0"/>
          <w:sz w:val="28"/>
          <w:szCs w:val="28"/>
          <w:lang w:val="en-US" w:eastAsia="zh-CN" w:bidi="ar-SA"/>
        </w:rPr>
      </w:pPr>
      <w:r>
        <w:rPr>
          <w:rFonts w:hint="eastAsia" w:ascii="方正仿宋_GBK" w:hAnsi="方正仿宋_GBK" w:eastAsia="方正仿宋_GBK" w:cs="方正仿宋_GBK"/>
          <w:sz w:val="28"/>
          <w:szCs w:val="28"/>
          <w:lang w:val="en-US" w:eastAsia="zh-CN"/>
        </w:rPr>
        <w:t>（三）其他要求</w:t>
      </w:r>
    </w:p>
    <w:p>
      <w:pPr>
        <w:spacing w:line="360" w:lineRule="auto"/>
        <w:ind w:firstLine="560" w:firstLineChars="200"/>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服务期限</w:t>
      </w: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年，具体起止时间以合同签订时间起算。</w:t>
      </w:r>
    </w:p>
    <w:p>
      <w:pPr>
        <w:spacing w:line="360" w:lineRule="auto"/>
        <w:ind w:firstLine="560" w:firstLineChars="200"/>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在供货过程中，供应商须保证配送食材的新鲜，若发现供应商不诚实守信、未按采购计划、配送时间进行送货、物资安全不达标、缺斤少两、以次充好或有其它违规行为的供应商经查证属实的，采购人有权立即解除采购配送合同并追究其相关责任。(提供承诺函，格式自拟)</w:t>
      </w:r>
      <w:r>
        <w:rPr>
          <w:rFonts w:hint="eastAsia" w:ascii="方正仿宋_GBK" w:hAnsi="方正仿宋_GBK" w:eastAsia="方正仿宋_GBK" w:cs="方正仿宋_GBK"/>
          <w:color w:val="auto"/>
          <w:kern w:val="0"/>
          <w:sz w:val="28"/>
          <w:szCs w:val="28"/>
          <w:lang w:eastAsia="zh-CN"/>
        </w:rPr>
        <w:br w:type="textWrapping"/>
      </w:r>
      <w:r>
        <w:rPr>
          <w:rFonts w:hint="eastAsia" w:ascii="方正仿宋_GBK" w:hAnsi="方正仿宋_GBK" w:eastAsia="方正仿宋_GBK" w:cs="方正仿宋_GBK"/>
          <w:color w:val="auto"/>
          <w:kern w:val="0"/>
          <w:sz w:val="28"/>
          <w:szCs w:val="28"/>
          <w:lang w:eastAsia="zh-CN"/>
        </w:rPr>
        <w:t xml:space="preserve">   </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成交供应商所供货物须达到国家食品安全规定，以国家相关最新标准为准，确保所供货物配送到指定地点时的质量，卫生和安全。</w:t>
      </w:r>
      <w:r>
        <w:rPr>
          <w:rFonts w:hint="eastAsia" w:ascii="方正仿宋_GBK" w:hAnsi="方正仿宋_GBK" w:eastAsia="方正仿宋_GBK" w:cs="方正仿宋_GBK"/>
          <w:b/>
          <w:bCs/>
          <w:color w:val="auto"/>
          <w:kern w:val="0"/>
          <w:sz w:val="28"/>
          <w:szCs w:val="28"/>
          <w:lang w:val="en-US" w:eastAsia="zh-CN" w:bidi="ar"/>
        </w:rPr>
        <w:t>（单独提供承诺函加盖公章，格式自拟）</w:t>
      </w:r>
    </w:p>
    <w:p>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（四）验收及其他要求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p>
    <w:p>
      <w:pPr>
        <w:spacing w:line="360" w:lineRule="auto"/>
        <w:ind w:firstLine="422" w:firstLineChars="200"/>
        <w:rPr>
          <w:rFonts w:hint="eastAsia" w:ascii="方正仿宋_GBK" w:hAnsi="方正仿宋_GBK" w:eastAsia="方正仿宋_GBK" w:cs="方正仿宋_GBK"/>
          <w:b/>
          <w:bCs/>
          <w:color w:val="auto"/>
        </w:rPr>
        <w:sectPr>
          <w:pgSz w:w="11906" w:h="16838"/>
          <w:pgMar w:top="1270" w:right="1800" w:bottom="1270" w:left="1800" w:header="851" w:footer="992" w:gutter="0"/>
          <w:pgNumType w:fmt="decimal"/>
          <w:cols w:space="720" w:num="1"/>
          <w:docGrid w:type="lines" w:linePitch="312" w:charSpace="0"/>
        </w:sectPr>
      </w:pPr>
    </w:p>
    <w:p>
      <w:pPr>
        <w:pStyle w:val="3"/>
        <w:rPr>
          <w:rFonts w:ascii="方正仿宋_GBK" w:hAnsi="方正仿宋_GBK"/>
          <w:sz w:val="28"/>
          <w:szCs w:val="28"/>
        </w:rPr>
      </w:pPr>
      <w:bookmarkStart w:id="4" w:name="_Toc6339"/>
      <w:r>
        <w:rPr>
          <w:rFonts w:hint="eastAsia" w:ascii="方正仿宋_GBK" w:hAnsi="方正仿宋_GBK"/>
          <w:sz w:val="28"/>
          <w:szCs w:val="28"/>
          <w:lang w:eastAsia="zh-CN"/>
        </w:rPr>
        <w:t>五</w:t>
      </w:r>
      <w:r>
        <w:rPr>
          <w:rFonts w:hint="eastAsia" w:ascii="方正仿宋_GBK" w:hAnsi="方正仿宋_GBK"/>
          <w:sz w:val="28"/>
          <w:szCs w:val="28"/>
        </w:rPr>
        <w:t>、响应文件要求</w:t>
      </w:r>
      <w:bookmarkEnd w:id="4"/>
    </w:p>
    <w:tbl>
      <w:tblPr>
        <w:tblStyle w:val="20"/>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序号</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资格要求</w:t>
            </w:r>
          </w:p>
        </w:tc>
        <w:tc>
          <w:tcPr>
            <w:tcW w:w="5388"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
                <w:bCs/>
                <w:color w:val="auto"/>
                <w:sz w:val="24"/>
                <w:szCs w:val="24"/>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1</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具有独立承担民事责任的能力</w:t>
            </w:r>
          </w:p>
        </w:tc>
        <w:tc>
          <w:tcPr>
            <w:tcW w:w="5388" w:type="dxa"/>
            <w:shd w:val="clear" w:color="auto" w:fill="FFFFFF"/>
            <w:vAlign w:val="center"/>
          </w:tcPr>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2.提供法定代表人/负责人身份证明书（含法定代表人/负责人身份证明材料）；</w:t>
            </w:r>
          </w:p>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具有良好的商业信誉和健全的财务会计制度</w:t>
            </w:r>
          </w:p>
        </w:tc>
        <w:tc>
          <w:tcPr>
            <w:tcW w:w="5388" w:type="dxa"/>
            <w:shd w:val="clear" w:color="auto" w:fill="FFFFFF"/>
            <w:vAlign w:val="center"/>
          </w:tcPr>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（1）提供具有良好商业信誉的承诺函；</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（2）提供财务状况报告（以下</w:t>
            </w:r>
            <w:r>
              <w:rPr>
                <w:rFonts w:hint="eastAsia" w:ascii="方正仿宋_GBK" w:hAnsi="方正仿宋_GBK" w:eastAsia="方正仿宋_GBK" w:cs="方正仿宋_GBK"/>
                <w:color w:val="auto"/>
                <w:sz w:val="24"/>
                <w:szCs w:val="24"/>
                <w:lang w:eastAsia="zh-CN"/>
              </w:rPr>
              <w:t>二</w:t>
            </w:r>
            <w:r>
              <w:rPr>
                <w:rFonts w:hint="eastAsia" w:ascii="方正仿宋_GBK" w:hAnsi="方正仿宋_GBK" w:eastAsia="方正仿宋_GBK" w:cs="方正仿宋_GBK"/>
                <w:color w:val="auto"/>
                <w:sz w:val="24"/>
                <w:szCs w:val="24"/>
              </w:rPr>
              <w:t>任选其一）：</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a.提供2020年度</w:t>
            </w:r>
            <w:r>
              <w:rPr>
                <w:rFonts w:hint="eastAsia" w:ascii="方正仿宋_GBK" w:hAnsi="方正仿宋_GBK" w:eastAsia="方正仿宋_GBK" w:cs="方正仿宋_GBK"/>
                <w:color w:val="auto"/>
                <w:sz w:val="24"/>
                <w:szCs w:val="24"/>
                <w:lang w:val="en-US" w:eastAsia="zh-CN"/>
              </w:rPr>
              <w:t>或2021年度</w:t>
            </w:r>
            <w:r>
              <w:rPr>
                <w:rFonts w:hint="eastAsia" w:ascii="方正仿宋_GBK" w:hAnsi="方正仿宋_GBK" w:eastAsia="方正仿宋_GBK" w:cs="方正仿宋_GBK"/>
                <w:color w:val="auto"/>
                <w:sz w:val="24"/>
                <w:szCs w:val="24"/>
              </w:rPr>
              <w:t>经会计师事务所审计的完整财务报告复印件或提供银行出具的有效期内的资信证明复印件；</w:t>
            </w:r>
          </w:p>
          <w:p>
            <w:pPr>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b.供应商注册时间至文件递交截止日不足一年的，提供在市场监督管理部门备案的公司章程(复印件)或提供其内部财务报表（至少包括资产负债表、利润表、现金流量表）；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具有履行合同所必需的设备和专业技术能力</w:t>
            </w:r>
          </w:p>
        </w:tc>
        <w:tc>
          <w:tcPr>
            <w:tcW w:w="5388" w:type="dxa"/>
            <w:shd w:val="clear" w:color="auto" w:fill="FFFFFF"/>
            <w:vAlign w:val="center"/>
          </w:tcPr>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4</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有依法缴纳税收和社会保障资金的良好记录</w:t>
            </w:r>
          </w:p>
        </w:tc>
        <w:tc>
          <w:tcPr>
            <w:tcW w:w="5388" w:type="dxa"/>
            <w:shd w:val="clear" w:color="auto" w:fill="FFFFFF"/>
            <w:vAlign w:val="center"/>
          </w:tcPr>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（1）供应商提供递交响应文件截止日期之前12个月内任意连续三个月的缴纳税收的证明，零申报或依法免税的公司须提供相应文件证明，新成立不足三个月的公司按实际缴纳情况提供。</w:t>
            </w:r>
          </w:p>
          <w:p>
            <w:pPr>
              <w:spacing w:line="360" w:lineRule="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color w:val="auto"/>
                <w:sz w:val="24"/>
                <w:szCs w:val="24"/>
              </w:rPr>
              <w:t>（2）供应商提供递交响应文件截止日期之前12个月内任意连续三个月的缴纳社保的证明，新成立不足三个月的公司按实际缴纳情况提供，不需要缴纳社会保障资金的公司须提供相应文件证明其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5</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参加本次政府采购活动前三年内，在经营活动中没有重大违法记录</w:t>
            </w:r>
          </w:p>
        </w:tc>
        <w:tc>
          <w:tcPr>
            <w:tcW w:w="5388" w:type="dxa"/>
            <w:shd w:val="clear" w:color="auto" w:fill="FFFFFF"/>
            <w:vAlign w:val="center"/>
          </w:tcPr>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6</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法律、行政法规规定的其他条件</w:t>
            </w:r>
          </w:p>
        </w:tc>
        <w:tc>
          <w:tcPr>
            <w:tcW w:w="5388" w:type="dxa"/>
            <w:shd w:val="clear" w:color="auto" w:fill="FFFFFF"/>
            <w:vAlign w:val="center"/>
          </w:tcPr>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7</w:t>
            </w:r>
          </w:p>
        </w:tc>
        <w:tc>
          <w:tcPr>
            <w:tcW w:w="2155" w:type="dxa"/>
            <w:shd w:val="clear" w:color="auto" w:fill="FFFFFF"/>
            <w:vAlign w:val="center"/>
          </w:tcPr>
          <w:p>
            <w:pPr>
              <w:spacing w:line="520" w:lineRule="exact"/>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采购项目的特殊要求</w:t>
            </w:r>
          </w:p>
        </w:tc>
        <w:tc>
          <w:tcPr>
            <w:tcW w:w="5388" w:type="dxa"/>
            <w:shd w:val="clear" w:color="auto" w:fill="FFFFFF"/>
            <w:vAlign w:val="center"/>
          </w:tcPr>
          <w:p>
            <w:pPr>
              <w:spacing w:line="520" w:lineRule="exact"/>
              <w:jc w:val="lef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lang w:val="en-US" w:eastAsia="zh-CN"/>
              </w:rPr>
              <w:t>提供有效期内的《食品经营许可证》复印件或《食品生产许可证》复印件</w:t>
            </w:r>
            <w:r>
              <w:rPr>
                <w:rFonts w:hint="eastAsia" w:ascii="方正仿宋_GBK" w:hAnsi="方正仿宋_GBK" w:eastAsia="方正仿宋_GBK" w:cs="方正仿宋_GBK"/>
                <w:bCs/>
                <w:color w:val="auto"/>
                <w:sz w:val="24"/>
                <w:szCs w:val="24"/>
              </w:rPr>
              <w:t>。</w:t>
            </w:r>
          </w:p>
        </w:tc>
      </w:tr>
    </w:tbl>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备注：所提供复印件须加盖公司鲜章。</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.2、技术、服务响应部分</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（三）首轮报价表；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服务要求响应偏离表；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（五）商务要求响应偏离表；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（六）供应商诚信情况承诺函；</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（七）知识产权声明函；</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（八）供应商基本情况表；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（九）中小企业声明函；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（十）</w:t>
      </w:r>
      <w:r>
        <w:rPr>
          <w:rFonts w:hint="eastAsia" w:ascii="方正仿宋_GBK" w:hAnsi="方正仿宋_GBK" w:eastAsia="方正仿宋_GBK" w:cs="方正仿宋_GBK"/>
          <w:sz w:val="28"/>
          <w:szCs w:val="28"/>
        </w:rPr>
        <w:t>其他供应商认为应提供的资料</w:t>
      </w:r>
      <w:r>
        <w:rPr>
          <w:rFonts w:hint="eastAsia" w:ascii="方正仿宋_GBK" w:hAnsi="方正仿宋_GBK" w:eastAsia="方正仿宋_GBK" w:cs="方正仿宋_GBK"/>
          <w:sz w:val="28"/>
          <w:szCs w:val="28"/>
          <w:lang w:eastAsia="zh-CN"/>
        </w:rPr>
        <w:t>。</w:t>
      </w:r>
    </w:p>
    <w:p>
      <w:pPr>
        <w:ind w:firstLine="562" w:firstLineChars="200"/>
        <w:rPr>
          <w:rFonts w:ascii="方正仿宋_GBK" w:hAnsi="方正仿宋_GBK" w:eastAsia="方正仿宋_GBK" w:cs="方正仿宋_GBK"/>
          <w:b/>
          <w:bCs/>
          <w:sz w:val="28"/>
          <w:szCs w:val="28"/>
        </w:rPr>
      </w:pPr>
      <w:bookmarkStart w:id="5" w:name="OLE_LINK5"/>
      <w:r>
        <w:rPr>
          <w:rFonts w:hint="eastAsia" w:ascii="方正仿宋_GBK" w:hAnsi="方正仿宋_GBK" w:eastAsia="方正仿宋_GBK" w:cs="方正仿宋_GBK"/>
          <w:b/>
          <w:bCs/>
          <w:sz w:val="28"/>
          <w:szCs w:val="28"/>
        </w:rPr>
        <w:t>注：</w:t>
      </w:r>
      <w:bookmarkEnd w:id="5"/>
      <w:r>
        <w:rPr>
          <w:rFonts w:hint="eastAsia" w:ascii="方正仿宋_GBK" w:hAnsi="方正仿宋_GBK" w:eastAsia="方正仿宋_GBK" w:cs="方正仿宋_GBK"/>
          <w:b/>
          <w:bCs/>
          <w:sz w:val="28"/>
          <w:szCs w:val="28"/>
        </w:rPr>
        <w:t>以上材料盖鲜章。</w:t>
      </w:r>
    </w:p>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.3报价单（）轮：</w:t>
      </w:r>
      <w:r>
        <w:rPr>
          <w:rFonts w:hint="eastAsia" w:ascii="方正仿宋_GBK" w:hAnsi="方正仿宋_GBK" w:eastAsia="方正仿宋_GBK" w:cs="方正仿宋_GBK"/>
          <w:sz w:val="28"/>
          <w:szCs w:val="28"/>
        </w:rPr>
        <w:t>不制作于响应文件中，单独密封。</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结束后递交。</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注：</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本项目只需根据“市发改委主要民生商品价格监测”为基准报整体下浮率，各分项下浮率均按整体下浮率结算；</w:t>
      </w:r>
    </w:p>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kern w:val="2"/>
          <w:sz w:val="28"/>
          <w:szCs w:val="28"/>
          <w:lang w:val="en-US" w:eastAsia="zh-CN" w:bidi="ar-SA"/>
        </w:rPr>
        <w:t>市发改委有价格监测的，以巴中市发改委价格监测中心监测价格下浮比例报价；未纳入监测的以采购人和供应商双方调查的市场价为下浮比例报价；采购人和供应商双方调查的市场基准价不得高于巴中市当地大型超市的价格，大型超市如沃尔玛、北山超市及世纪隆超市。</w:t>
      </w:r>
    </w:p>
    <w:p>
      <w:pPr>
        <w:spacing w:line="360" w:lineRule="auto"/>
        <w:ind w:firstLine="56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3、报价应中须包含商品价格、配送人工费、运费、税金、上下车搬运费和磋商文件规定的其它费用。</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eastAsia="zh-CN"/>
        </w:rPr>
        <w:t>备</w:t>
      </w: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：1、供应商应准备响应文件正本1份、副本2份；“报价单（）轮”份数以现场</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情况为准。所有响应文件须注明项目编号、项目名称和供应商名称以及“正本”或“副本”字样。若正本和副本有不一致的内容，以正本书面响应文件为准。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rPr>
          <w:rFonts w:ascii="方正仿宋_GBK" w:hAnsi="方正仿宋_GBK"/>
          <w:kern w:val="2"/>
          <w:sz w:val="28"/>
          <w:szCs w:val="28"/>
        </w:rPr>
      </w:pPr>
      <w:bookmarkStart w:id="6" w:name="_Toc8927"/>
      <w:r>
        <w:rPr>
          <w:rFonts w:hint="eastAsia" w:ascii="方正仿宋_GBK" w:hAnsi="方正仿宋_GBK"/>
          <w:sz w:val="28"/>
          <w:szCs w:val="28"/>
          <w:lang w:eastAsia="zh-CN"/>
        </w:rPr>
        <w:t>六</w:t>
      </w:r>
      <w:r>
        <w:rPr>
          <w:rFonts w:hint="eastAsia" w:ascii="方正仿宋_GBK" w:hAnsi="方正仿宋_GBK"/>
          <w:sz w:val="28"/>
          <w:szCs w:val="28"/>
        </w:rPr>
        <w:t>、响应文件格式</w:t>
      </w:r>
      <w:bookmarkEnd w:id="6"/>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pPr>
        <w:pStyle w:val="2"/>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注：1、“供应商代表”系指供应商是法人或其他组织时的法定代表人或其授权代表。</w:t>
      </w:r>
    </w:p>
    <w:p>
      <w:pPr>
        <w:spacing w:line="360" w:lineRule="auto"/>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360" w:lineRule="auto"/>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w:t>
      </w:r>
    </w:p>
    <w:p>
      <w:pPr>
        <w:spacing w:line="360" w:lineRule="auto"/>
        <w:ind w:firstLine="1120" w:firstLineChars="4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 w:val="28"/>
          <w:szCs w:val="28"/>
        </w:rPr>
        <w:br w:type="page"/>
      </w:r>
    </w:p>
    <w:p>
      <w:pPr>
        <w:jc w:val="righ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（正本/副本）</w:t>
      </w:r>
    </w:p>
    <w:p>
      <w:pPr>
        <w:pStyle w:val="2"/>
      </w:pP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pStyle w:val="16"/>
      </w:pP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供应商名称：</w:t>
      </w:r>
      <w:r>
        <w:rPr>
          <w:rFonts w:hint="eastAsia" w:ascii="方正仿宋_GBK" w:hAnsi="方正仿宋_GBK" w:eastAsia="方正仿宋_GBK" w:cs="方正仿宋_GBK"/>
          <w:b/>
          <w:bCs/>
          <w:color w:val="000000"/>
          <w:kern w:val="0"/>
          <w:sz w:val="28"/>
          <w:szCs w:val="28"/>
          <w:u w:val="single"/>
        </w:rPr>
        <w:t xml:space="preserve">           </w:t>
      </w:r>
      <w:r>
        <w:rPr>
          <w:rFonts w:hint="eastAsia" w:ascii="方正仿宋_GBK" w:hAnsi="方正仿宋_GBK" w:eastAsia="方正仿宋_GBK" w:cs="方正仿宋_GBK"/>
          <w:b/>
          <w:bCs/>
          <w:color w:val="000000"/>
          <w:kern w:val="0"/>
          <w:sz w:val="28"/>
          <w:szCs w:val="28"/>
        </w:rPr>
        <w:t>（加盖供应商公章）</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u w:val="single"/>
        </w:rPr>
        <w:t xml:space="preserve">           </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日期：</w:t>
      </w:r>
      <w:r>
        <w:rPr>
          <w:rFonts w:hint="eastAsia" w:ascii="方正仿宋_GBK" w:hAnsi="方正仿宋_GBK" w:eastAsia="方正仿宋_GBK" w:cs="方正仿宋_GBK"/>
          <w:b/>
          <w:bCs/>
          <w:color w:val="000000"/>
          <w:kern w:val="0"/>
          <w:sz w:val="28"/>
          <w:szCs w:val="28"/>
          <w:u w:val="single"/>
        </w:rPr>
        <w:t xml:space="preserve">           </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法定代表人身份证明书</w:t>
      </w:r>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（供应商名称）处任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附件：法定代表人有效的身份证复印件（身份证两面均应复印）。供应商的法定代表人为外籍人士的，则需提供护照复印件。</w:t>
      </w:r>
    </w:p>
    <w:p>
      <w:pPr>
        <w:pStyle w:val="2"/>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授权书</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（被授权人姓名、职务）为我方“</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”项目（采购项目编号：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采购活动的合法代表，以我方名义全权处理该项目有关</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、报价、签订合同以及执行合同等一切事宜。本公司均予以认可并对此承担责任。授权代表无转委托权。</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特此授权！本授权书自出具之日起生效。</w:t>
      </w: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7" w:name="OLE_LINK9"/>
      <w:r>
        <w:rPr>
          <w:rFonts w:hint="eastAsia" w:ascii="方正仿宋_GBK" w:hAnsi="方正仿宋_GBK" w:eastAsia="方正仿宋_GBK" w:cs="方正仿宋_GBK"/>
          <w:b/>
          <w:bCs/>
          <w:sz w:val="28"/>
          <w:szCs w:val="28"/>
        </w:rPr>
        <w:t>（1）</w:t>
      </w:r>
      <w:bookmarkEnd w:id="7"/>
      <w:r>
        <w:rPr>
          <w:rFonts w:hint="eastAsia" w:ascii="方正仿宋_GBK" w:hAnsi="方正仿宋_GBK" w:eastAsia="方正仿宋_GBK" w:cs="方正仿宋_GBK"/>
          <w:b/>
          <w:bCs/>
          <w:sz w:val="28"/>
          <w:szCs w:val="28"/>
        </w:rPr>
        <w:t>法定代表人不参与投标而委托代理人投标适用。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报价函</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采购。</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2.我方自愿按照</w:t>
      </w:r>
      <w:r>
        <w:rPr>
          <w:rFonts w:hint="eastAsia" w:ascii="方正仿宋_GBK" w:hAnsi="方正仿宋_GBK" w:eastAsia="方正仿宋_GBK" w:cs="方正仿宋_GBK"/>
          <w:color w:val="auto"/>
          <w:sz w:val="28"/>
          <w:szCs w:val="28"/>
          <w:lang w:eastAsia="zh-CN"/>
        </w:rPr>
        <w:t>磋商</w:t>
      </w:r>
      <w:r>
        <w:rPr>
          <w:rFonts w:hint="eastAsia" w:ascii="方正仿宋_GBK" w:hAnsi="方正仿宋_GBK" w:eastAsia="方正仿宋_GBK" w:cs="方正仿宋_GBK"/>
          <w:color w:val="auto"/>
          <w:sz w:val="28"/>
          <w:szCs w:val="28"/>
        </w:rPr>
        <w:t>文件规定的各项要求向采购人提供所需货物/服务</w:t>
      </w:r>
      <w:r>
        <w:rPr>
          <w:rFonts w:hint="eastAsia" w:ascii="方正仿宋_GBK" w:hAnsi="方正仿宋_GBK" w:eastAsia="方正仿宋_GBK" w:cs="方正仿宋_GBK"/>
          <w:color w:val="auto"/>
          <w:sz w:val="28"/>
          <w:szCs w:val="28"/>
          <w:lang w:val="en-US" w:eastAsia="zh-CN"/>
        </w:rPr>
        <w:t>/工程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总</w:t>
      </w:r>
      <w:r>
        <w:rPr>
          <w:rFonts w:hint="eastAsia" w:ascii="方正仿宋_GBK" w:hAnsi="方正仿宋_GBK" w:eastAsia="方正仿宋_GBK" w:cs="方正仿宋_GBK"/>
          <w:color w:val="auto"/>
          <w:kern w:val="0"/>
          <w:sz w:val="28"/>
          <w:szCs w:val="28"/>
          <w:lang w:val="en-US" w:eastAsia="zh-CN"/>
        </w:rPr>
        <w:t>报价下浮率</w:t>
      </w:r>
      <w:r>
        <w:rPr>
          <w:rFonts w:hint="eastAsia" w:ascii="方正仿宋_GBK" w:hAnsi="方正仿宋_GBK" w:eastAsia="方正仿宋_GBK" w:cs="方正仿宋_GBK"/>
          <w:color w:val="auto"/>
          <w:kern w:val="0"/>
          <w:sz w:val="28"/>
          <w:szCs w:val="28"/>
          <w:u w:val="single"/>
          <w:lang w:val="en-US" w:eastAsia="zh-CN"/>
        </w:rPr>
        <w:t xml:space="preserve">     </w:t>
      </w:r>
      <w:r>
        <w:rPr>
          <w:rFonts w:hint="eastAsia" w:ascii="方正仿宋_GBK" w:hAnsi="方正仿宋_GBK" w:eastAsia="方正仿宋_GBK" w:cs="方正仿宋_GBK"/>
          <w:i w:val="0"/>
          <w:iCs w:val="0"/>
          <w:color w:val="auto"/>
          <w:kern w:val="0"/>
          <w:sz w:val="28"/>
          <w:szCs w:val="28"/>
          <w:lang w:val="en-US" w:eastAsia="zh-CN"/>
        </w:rPr>
        <w:t>%</w:t>
      </w:r>
      <w:r>
        <w:rPr>
          <w:rFonts w:hint="eastAsia" w:ascii="方正仿宋_GBK" w:hAnsi="方正仿宋_GBK" w:eastAsia="方正仿宋_GBK" w:cs="方正仿宋_GBK"/>
          <w:color w:val="auto"/>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报价。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报价有关的文件资料，并保证我方已提供和将要提供的文件资料是真实、准确的。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文件的规定向贵方交纳成交服务费。</w:t>
      </w:r>
    </w:p>
    <w:p>
      <w:pPr>
        <w:spacing w:line="420" w:lineRule="exact"/>
        <w:ind w:firstLine="560" w:firstLineChars="200"/>
        <w:rPr>
          <w:rFonts w:ascii="方正仿宋_GBK" w:hAnsi="方正仿宋_GBK" w:eastAsia="方正仿宋_GBK" w:cs="方正仿宋_GBK"/>
          <w:sz w:val="28"/>
          <w:szCs w:val="28"/>
        </w:rPr>
      </w:pP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color w:val="000000"/>
          <w:kern w:val="0"/>
          <w:sz w:val="28"/>
          <w:szCs w:val="28"/>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五、如果有《四川省政府采购当事人诚信管理办法》（川财采[2015]33号）规定的记入诚信档案的失信行为，将在响应文件中全面如实反映。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w:t>
      </w:r>
      <w:r>
        <w:rPr>
          <w:rFonts w:hint="eastAsia" w:ascii="方正仿宋_GBK" w:hAnsi="方正仿宋_GBK" w:eastAsia="方正仿宋_GBK" w:cs="方正仿宋_GBK"/>
          <w:color w:val="000000"/>
          <w:kern w:val="0"/>
          <w:sz w:val="28"/>
          <w:szCs w:val="28"/>
          <w:lang w:eastAsia="zh-CN"/>
        </w:rPr>
        <w:t>磋商</w:t>
      </w:r>
      <w:r>
        <w:rPr>
          <w:rFonts w:hint="eastAsia" w:ascii="方正仿宋_GBK" w:hAnsi="方正仿宋_GBK" w:eastAsia="方正仿宋_GBK" w:cs="方正仿宋_GBK"/>
          <w:color w:val="000000"/>
          <w:kern w:val="0"/>
          <w:sz w:val="28"/>
          <w:szCs w:val="28"/>
        </w:rPr>
        <w:t>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首轮报价表</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项目编号：</w:t>
      </w:r>
      <w:r>
        <w:rPr>
          <w:rFonts w:hint="eastAsia" w:ascii="方正仿宋_GBK" w:hAnsi="方正仿宋_GBK" w:eastAsia="方正仿宋_GBK" w:cs="方正仿宋_GBK"/>
          <w:kern w:val="2"/>
          <w:sz w:val="28"/>
          <w:szCs w:val="28"/>
          <w:lang w:val="en-US" w:eastAsia="zh-CN" w:bidi="ar-SA"/>
        </w:rPr>
        <w:tab/>
      </w:r>
      <w:r>
        <w:rPr>
          <w:rFonts w:hint="eastAsia" w:ascii="方正仿宋_GBK" w:hAnsi="方正仿宋_GBK" w:eastAsia="方正仿宋_GBK" w:cs="方正仿宋_GBK"/>
          <w:kern w:val="2"/>
          <w:sz w:val="28"/>
          <w:szCs w:val="28"/>
          <w:lang w:val="en-US" w:eastAsia="zh-CN" w:bidi="ar-SA"/>
        </w:rPr>
        <w:t xml:space="preserve">  </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355"/>
        <w:gridCol w:w="314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52"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序号</w:t>
            </w:r>
          </w:p>
        </w:tc>
        <w:tc>
          <w:tcPr>
            <w:tcW w:w="2355"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采购内容</w:t>
            </w:r>
          </w:p>
        </w:tc>
        <w:tc>
          <w:tcPr>
            <w:tcW w:w="3141"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报价下浮率     %</w:t>
            </w:r>
          </w:p>
        </w:tc>
        <w:tc>
          <w:tcPr>
            <w:tcW w:w="1455"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52"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2355" w:type="dxa"/>
            <w:vAlign w:val="center"/>
          </w:tcPr>
          <w:p>
            <w:pPr>
              <w:spacing w:line="360" w:lineRule="auto"/>
              <w:jc w:val="both"/>
              <w:rPr>
                <w:rFonts w:hint="eastAsia" w:ascii="方正仿宋_GBK" w:hAnsi="方正仿宋_GBK" w:eastAsia="方正仿宋_GBK" w:cs="方正仿宋_GBK"/>
                <w:kern w:val="2"/>
                <w:sz w:val="28"/>
                <w:szCs w:val="28"/>
                <w:lang w:val="en-US" w:eastAsia="zh-CN" w:bidi="ar-SA"/>
              </w:rPr>
            </w:pPr>
          </w:p>
        </w:tc>
        <w:tc>
          <w:tcPr>
            <w:tcW w:w="3141"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1455"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52"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2355" w:type="dxa"/>
            <w:vAlign w:val="center"/>
          </w:tcPr>
          <w:p>
            <w:pPr>
              <w:spacing w:line="360" w:lineRule="auto"/>
              <w:jc w:val="both"/>
              <w:rPr>
                <w:rFonts w:hint="eastAsia" w:ascii="方正仿宋_GBK" w:hAnsi="方正仿宋_GBK" w:eastAsia="方正仿宋_GBK" w:cs="方正仿宋_GBK"/>
                <w:kern w:val="2"/>
                <w:sz w:val="28"/>
                <w:szCs w:val="28"/>
                <w:lang w:val="en-US" w:eastAsia="zh-CN" w:bidi="ar-SA"/>
              </w:rPr>
            </w:pPr>
          </w:p>
        </w:tc>
        <w:tc>
          <w:tcPr>
            <w:tcW w:w="3141"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1455"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r>
    </w:tbl>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1.市发改委有价格监测的，以市发改委价格监测中心监测价格下浮比例报价；未纳入监测的以采购人和供应商双方调查的市场价为下浮比例报价；采购人和供应商双方调查的市场基准价不得高于巴中市当地大型超市的价格，大型超市如沃尔玛、北山超市及世纪隆超市。</w:t>
      </w:r>
    </w:p>
    <w:p>
      <w:pPr>
        <w:spacing w:line="360" w:lineRule="auto"/>
        <w:ind w:firstLine="1120" w:firstLineChars="4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2.报价应中须包含商品价格、配送人工费、运费、税金、上下车搬运费和采购文件规定的其它费用。</w:t>
      </w:r>
    </w:p>
    <w:p>
      <w:pPr>
        <w:rPr>
          <w:rFonts w:hint="eastAsia" w:ascii="方正仿宋_GBK" w:hAnsi="方正仿宋_GBK" w:eastAsia="方正仿宋_GBK" w:cs="方正仿宋_GBK"/>
          <w:kern w:val="2"/>
          <w:sz w:val="28"/>
          <w:szCs w:val="28"/>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kern w:val="2"/>
          <w:sz w:val="28"/>
          <w:szCs w:val="28"/>
          <w:lang w:val="en-US" w:eastAsia="zh-CN" w:bidi="ar-SA"/>
        </w:rPr>
      </w:pPr>
      <w:bookmarkStart w:id="8" w:name="_Toc217446086"/>
      <w:r>
        <w:rPr>
          <w:rFonts w:hint="eastAsia" w:ascii="方正仿宋_GBK" w:hAnsi="方正仿宋_GBK" w:eastAsia="方正仿宋_GBK" w:cs="方正仿宋_GBK"/>
          <w:kern w:val="2"/>
          <w:sz w:val="28"/>
          <w:szCs w:val="28"/>
          <w:lang w:val="en-US" w:eastAsia="zh-CN" w:bidi="ar-SA"/>
        </w:rPr>
        <w:t xml:space="preserve">供应商名称（单位盖章）：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kern w:val="2"/>
          <w:sz w:val="28"/>
          <w:szCs w:val="28"/>
          <w:lang w:val="en-US" w:eastAsia="zh-CN" w:bidi="ar-SA"/>
        </w:rPr>
        <w:t>日  期：   年   月   日</w:t>
      </w:r>
      <w:bookmarkEnd w:id="8"/>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技术、服务要求响应</w:t>
      </w:r>
      <w:r>
        <w:rPr>
          <w:rFonts w:hint="eastAsia" w:ascii="方正仿宋_GBK" w:hAnsi="方正仿宋_GBK" w:eastAsia="方正仿宋_GBK" w:cs="方正仿宋_GBK"/>
          <w:b/>
          <w:bCs/>
          <w:sz w:val="28"/>
          <w:szCs w:val="28"/>
          <w:lang w:eastAsia="zh-CN"/>
        </w:rPr>
        <w:t>偏离</w:t>
      </w:r>
      <w:r>
        <w:rPr>
          <w:rFonts w:hint="eastAsia" w:ascii="方正仿宋_GBK" w:hAnsi="方正仿宋_GBK" w:eastAsia="方正仿宋_GBK" w:cs="方正仿宋_GBK"/>
          <w:b/>
          <w:bCs/>
          <w:sz w:val="28"/>
          <w:szCs w:val="28"/>
        </w:rPr>
        <w:t>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0"/>
        <w:tblW w:w="832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w:t>
      </w:r>
      <w:r>
        <w:rPr>
          <w:rFonts w:hint="eastAsia" w:ascii="方正仿宋_GBK" w:hAnsi="方正仿宋_GBK" w:eastAsia="方正仿宋_GBK" w:cs="方正仿宋_GBK"/>
          <w:color w:val="000000"/>
          <w:kern w:val="0"/>
          <w:sz w:val="28"/>
          <w:szCs w:val="28"/>
          <w:lang w:eastAsia="zh-CN"/>
        </w:rPr>
        <w:t>第四章</w:t>
      </w:r>
      <w:r>
        <w:rPr>
          <w:rFonts w:hint="eastAsia" w:ascii="方正仿宋_GBK" w:hAnsi="方正仿宋_GBK" w:eastAsia="方正仿宋_GBK" w:cs="方正仿宋_GBK"/>
          <w:color w:val="000000"/>
          <w:kern w:val="0"/>
          <w:sz w:val="28"/>
          <w:szCs w:val="28"/>
        </w:rPr>
        <w:t>的全部技术</w:t>
      </w:r>
      <w:r>
        <w:rPr>
          <w:rFonts w:hint="eastAsia" w:ascii="方正仿宋_GBK" w:hAnsi="方正仿宋_GBK" w:eastAsia="方正仿宋_GBK" w:cs="方正仿宋_GBK"/>
          <w:color w:val="000000"/>
          <w:kern w:val="0"/>
          <w:sz w:val="28"/>
          <w:szCs w:val="28"/>
          <w:lang w:eastAsia="zh-CN"/>
        </w:rPr>
        <w:t>参数、质量、</w:t>
      </w:r>
      <w:r>
        <w:rPr>
          <w:rFonts w:hint="eastAsia" w:ascii="方正仿宋_GBK" w:hAnsi="方正仿宋_GBK" w:eastAsia="方正仿宋_GBK" w:cs="方正仿宋_GBK"/>
          <w:color w:val="000000"/>
          <w:kern w:val="0"/>
          <w:sz w:val="28"/>
          <w:szCs w:val="28"/>
        </w:rPr>
        <w:t>服务要求列入此表。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w:t>
      </w:r>
      <w:r>
        <w:rPr>
          <w:rFonts w:hint="eastAsia" w:ascii="方正仿宋_GBK" w:hAnsi="方正仿宋_GBK" w:eastAsia="方正仿宋_GBK" w:cs="方正仿宋_GBK"/>
          <w:color w:val="000000"/>
          <w:kern w:val="0"/>
          <w:sz w:val="28"/>
          <w:szCs w:val="28"/>
          <w:lang w:eastAsia="zh-CN"/>
        </w:rPr>
        <w:t>磋商</w:t>
      </w:r>
      <w:r>
        <w:rPr>
          <w:rFonts w:hint="eastAsia" w:ascii="方正仿宋_GBK" w:hAnsi="方正仿宋_GBK" w:eastAsia="方正仿宋_GBK" w:cs="方正仿宋_GBK"/>
          <w:color w:val="000000"/>
          <w:kern w:val="0"/>
          <w:sz w:val="28"/>
          <w:szCs w:val="28"/>
        </w:rPr>
        <w:t>或中标资格。</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r>
        <w:rPr>
          <w:rFonts w:hint="eastAsia" w:ascii="方正仿宋_GBK" w:hAnsi="方正仿宋_GBK" w:eastAsia="方正仿宋_GBK" w:cs="方正仿宋_GBK"/>
          <w:b/>
          <w:bCs/>
          <w:sz w:val="28"/>
          <w:szCs w:val="28"/>
          <w:lang w:eastAsia="zh-CN"/>
        </w:rPr>
        <w:t>要求响应偏离</w:t>
      </w:r>
      <w:r>
        <w:rPr>
          <w:rFonts w:hint="eastAsia" w:ascii="方正仿宋_GBK" w:hAnsi="方正仿宋_GBK" w:eastAsia="方正仿宋_GBK" w:cs="方正仿宋_GBK"/>
          <w:b/>
          <w:bCs/>
          <w:sz w:val="28"/>
          <w:szCs w:val="28"/>
        </w:rPr>
        <w:t>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0"/>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w:t>
      </w:r>
      <w:r>
        <w:rPr>
          <w:rFonts w:hint="eastAsia" w:ascii="方正仿宋_GBK" w:hAnsi="方正仿宋_GBK" w:eastAsia="方正仿宋_GBK" w:cs="方正仿宋_GBK"/>
          <w:color w:val="000000"/>
          <w:kern w:val="0"/>
          <w:sz w:val="28"/>
          <w:szCs w:val="28"/>
          <w:lang w:eastAsia="zh-CN"/>
        </w:rPr>
        <w:t>第四章</w:t>
      </w:r>
      <w:r>
        <w:rPr>
          <w:rFonts w:hint="eastAsia" w:ascii="方正仿宋_GBK" w:hAnsi="方正仿宋_GBK" w:eastAsia="方正仿宋_GBK" w:cs="方正仿宋_GBK"/>
          <w:color w:val="000000"/>
          <w:kern w:val="0"/>
          <w:sz w:val="28"/>
          <w:szCs w:val="28"/>
        </w:rPr>
        <w:t>的全部商务要求列入此表。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w:t>
      </w:r>
      <w:r>
        <w:rPr>
          <w:rFonts w:hint="eastAsia" w:ascii="方正仿宋_GBK" w:hAnsi="方正仿宋_GBK" w:eastAsia="方正仿宋_GBK" w:cs="方正仿宋_GBK"/>
          <w:color w:val="000000"/>
          <w:kern w:val="0"/>
          <w:sz w:val="28"/>
          <w:szCs w:val="28"/>
          <w:lang w:eastAsia="zh-CN"/>
        </w:rPr>
        <w:t>磋商</w:t>
      </w:r>
      <w:r>
        <w:rPr>
          <w:rFonts w:hint="eastAsia" w:ascii="方正仿宋_GBK" w:hAnsi="方正仿宋_GBK" w:eastAsia="方正仿宋_GBK" w:cs="方正仿宋_GBK"/>
          <w:color w:val="000000"/>
          <w:kern w:val="0"/>
          <w:sz w:val="28"/>
          <w:szCs w:val="28"/>
        </w:rPr>
        <w:t>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知识产权声明函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本单位</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rPr>
        <w:t>（公司名称）参加</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（项目名称）</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br w:type="page"/>
      </w:r>
    </w:p>
    <w:p>
      <w:pPr>
        <w:spacing w:line="360" w:lineRule="auto"/>
        <w:ind w:firstLine="562" w:firstLineChars="200"/>
        <w:jc w:val="center"/>
        <w:rPr>
          <w:rFonts w:ascii="方正仿宋_GBK" w:eastAsia="方正仿宋_GBK"/>
          <w:b/>
          <w:color w:val="auto"/>
          <w:sz w:val="28"/>
          <w:szCs w:val="28"/>
        </w:rPr>
      </w:pPr>
      <w:r>
        <w:rPr>
          <w:rFonts w:hint="eastAsia" w:ascii="方正仿宋_GBK" w:eastAsia="方正仿宋_GBK"/>
          <w:b/>
          <w:color w:val="auto"/>
          <w:sz w:val="28"/>
          <w:szCs w:val="28"/>
          <w:lang w:eastAsia="zh-CN"/>
        </w:rPr>
        <w:t>供应商</w:t>
      </w:r>
      <w:r>
        <w:rPr>
          <w:rFonts w:ascii="方正仿宋_GBK" w:eastAsia="方正仿宋_GBK"/>
          <w:b/>
          <w:color w:val="auto"/>
          <w:sz w:val="28"/>
          <w:szCs w:val="28"/>
        </w:rPr>
        <w:t>基本情况表</w:t>
      </w:r>
    </w:p>
    <w:tbl>
      <w:tblPr>
        <w:tblStyle w:val="20"/>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6"/>
        <w:gridCol w:w="615"/>
        <w:gridCol w:w="240"/>
        <w:gridCol w:w="1482"/>
        <w:gridCol w:w="548"/>
        <w:gridCol w:w="580"/>
        <w:gridCol w:w="85"/>
        <w:gridCol w:w="485"/>
        <w:gridCol w:w="413"/>
        <w:gridCol w:w="78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供应商</w:t>
            </w:r>
            <w:r>
              <w:rPr>
                <w:rFonts w:hint="eastAsia" w:ascii="方正仿宋_GBK" w:hAnsi="方正仿宋_GBK" w:eastAsia="方正仿宋_GBK" w:cs="方正仿宋_GBK"/>
                <w:color w:val="000000"/>
                <w:kern w:val="0"/>
                <w:sz w:val="28"/>
                <w:szCs w:val="28"/>
              </w:rPr>
              <w:t>名称</w:t>
            </w:r>
          </w:p>
        </w:tc>
        <w:tc>
          <w:tcPr>
            <w:tcW w:w="6303" w:type="dxa"/>
            <w:gridSpan w:val="10"/>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注册地址</w:t>
            </w:r>
          </w:p>
        </w:tc>
        <w:tc>
          <w:tcPr>
            <w:tcW w:w="2885" w:type="dxa"/>
            <w:gridSpan w:val="4"/>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50" w:type="dxa"/>
            <w:gridSpan w:val="3"/>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邮政编码</w:t>
            </w:r>
          </w:p>
        </w:tc>
        <w:tc>
          <w:tcPr>
            <w:tcW w:w="2268"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Merge w:val="restart"/>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联系方式</w:t>
            </w:r>
          </w:p>
        </w:tc>
        <w:tc>
          <w:tcPr>
            <w:tcW w:w="855" w:type="dxa"/>
            <w:gridSpan w:val="2"/>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联系人</w:t>
            </w:r>
          </w:p>
        </w:tc>
        <w:tc>
          <w:tcPr>
            <w:tcW w:w="2030" w:type="dxa"/>
            <w:gridSpan w:val="2"/>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50" w:type="dxa"/>
            <w:gridSpan w:val="3"/>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电话</w:t>
            </w:r>
          </w:p>
        </w:tc>
        <w:tc>
          <w:tcPr>
            <w:tcW w:w="2268"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Merge w:val="continue"/>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855" w:type="dxa"/>
            <w:gridSpan w:val="2"/>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传真</w:t>
            </w:r>
          </w:p>
        </w:tc>
        <w:tc>
          <w:tcPr>
            <w:tcW w:w="2030" w:type="dxa"/>
            <w:gridSpan w:val="2"/>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50" w:type="dxa"/>
            <w:gridSpan w:val="3"/>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网址</w:t>
            </w:r>
          </w:p>
        </w:tc>
        <w:tc>
          <w:tcPr>
            <w:tcW w:w="2268"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组织结构</w:t>
            </w:r>
          </w:p>
        </w:tc>
        <w:tc>
          <w:tcPr>
            <w:tcW w:w="6303" w:type="dxa"/>
            <w:gridSpan w:val="10"/>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法定代表人</w:t>
            </w:r>
          </w:p>
        </w:tc>
        <w:tc>
          <w:tcPr>
            <w:tcW w:w="615"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姓名</w:t>
            </w:r>
          </w:p>
        </w:tc>
        <w:tc>
          <w:tcPr>
            <w:tcW w:w="1722" w:type="dxa"/>
            <w:gridSpan w:val="2"/>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213" w:type="dxa"/>
            <w:gridSpan w:val="3"/>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技术职称</w:t>
            </w:r>
          </w:p>
        </w:tc>
        <w:tc>
          <w:tcPr>
            <w:tcW w:w="898" w:type="dxa"/>
            <w:gridSpan w:val="2"/>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789"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电话</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技术负责人</w:t>
            </w:r>
          </w:p>
        </w:tc>
        <w:tc>
          <w:tcPr>
            <w:tcW w:w="615"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姓名</w:t>
            </w:r>
          </w:p>
        </w:tc>
        <w:tc>
          <w:tcPr>
            <w:tcW w:w="1722" w:type="dxa"/>
            <w:gridSpan w:val="2"/>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213" w:type="dxa"/>
            <w:gridSpan w:val="3"/>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技术职称</w:t>
            </w:r>
          </w:p>
        </w:tc>
        <w:tc>
          <w:tcPr>
            <w:tcW w:w="898" w:type="dxa"/>
            <w:gridSpan w:val="2"/>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789"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电话</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成立时间</w:t>
            </w:r>
          </w:p>
        </w:tc>
        <w:tc>
          <w:tcPr>
            <w:tcW w:w="2337"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3966" w:type="dxa"/>
            <w:gridSpan w:val="7"/>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企业资质等级</w:t>
            </w:r>
          </w:p>
        </w:tc>
        <w:tc>
          <w:tcPr>
            <w:tcW w:w="2337"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28" w:type="dxa"/>
            <w:gridSpan w:val="2"/>
            <w:vMerge w:val="restart"/>
            <w:vAlign w:val="center"/>
          </w:tcPr>
          <w:p>
            <w:pPr>
              <w:spacing w:line="36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其中</w:t>
            </w:r>
          </w:p>
        </w:tc>
        <w:tc>
          <w:tcPr>
            <w:tcW w:w="1772" w:type="dxa"/>
            <w:gridSpan w:val="4"/>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项目经理</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营业执照号</w:t>
            </w:r>
          </w:p>
        </w:tc>
        <w:tc>
          <w:tcPr>
            <w:tcW w:w="2337"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28" w:type="dxa"/>
            <w:gridSpan w:val="2"/>
            <w:vMerge w:val="continue"/>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772" w:type="dxa"/>
            <w:gridSpan w:val="4"/>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高级职称人员</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注册资金</w:t>
            </w:r>
          </w:p>
        </w:tc>
        <w:tc>
          <w:tcPr>
            <w:tcW w:w="2337"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28" w:type="dxa"/>
            <w:gridSpan w:val="2"/>
            <w:vMerge w:val="continue"/>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772" w:type="dxa"/>
            <w:gridSpan w:val="4"/>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中级职称人员</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w:t>
            </w:r>
          </w:p>
        </w:tc>
        <w:tc>
          <w:tcPr>
            <w:tcW w:w="2337"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28" w:type="dxa"/>
            <w:gridSpan w:val="2"/>
            <w:vMerge w:val="continue"/>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772" w:type="dxa"/>
            <w:gridSpan w:val="4"/>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初级职称人员</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w:t>
            </w:r>
          </w:p>
        </w:tc>
        <w:tc>
          <w:tcPr>
            <w:tcW w:w="2337" w:type="dxa"/>
            <w:gridSpan w:val="3"/>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128" w:type="dxa"/>
            <w:gridSpan w:val="2"/>
            <w:vMerge w:val="continue"/>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c>
          <w:tcPr>
            <w:tcW w:w="1772" w:type="dxa"/>
            <w:gridSpan w:val="4"/>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技工</w:t>
            </w:r>
          </w:p>
        </w:tc>
        <w:tc>
          <w:tcPr>
            <w:tcW w:w="1066" w:type="dxa"/>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经营范围</w:t>
            </w:r>
          </w:p>
        </w:tc>
        <w:tc>
          <w:tcPr>
            <w:tcW w:w="6303" w:type="dxa"/>
            <w:gridSpan w:val="10"/>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956" w:type="dxa"/>
            <w:vAlign w:val="center"/>
          </w:tcPr>
          <w:p>
            <w:pPr>
              <w:spacing w:line="36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备注</w:t>
            </w:r>
          </w:p>
        </w:tc>
        <w:tc>
          <w:tcPr>
            <w:tcW w:w="6303" w:type="dxa"/>
            <w:gridSpan w:val="10"/>
            <w:vAlign w:val="center"/>
          </w:tcPr>
          <w:p>
            <w:pPr>
              <w:spacing w:line="360" w:lineRule="auto"/>
              <w:ind w:firstLine="560" w:firstLineChars="200"/>
              <w:rPr>
                <w:rFonts w:hint="eastAsia" w:ascii="方正仿宋_GBK" w:hAnsi="方正仿宋_GBK" w:eastAsia="方正仿宋_GBK" w:cs="方正仿宋_GBK"/>
                <w:color w:val="000000"/>
                <w:kern w:val="0"/>
                <w:sz w:val="28"/>
                <w:szCs w:val="28"/>
              </w:rPr>
            </w:pPr>
          </w:p>
        </w:tc>
      </w:tr>
    </w:tbl>
    <w:p>
      <w:pPr>
        <w:spacing w:line="360" w:lineRule="auto"/>
        <w:ind w:firstLine="560" w:firstLineChars="200"/>
        <w:rPr>
          <w:rFonts w:hint="eastAsia" w:ascii="方正仿宋_GBK" w:hAnsi="方正仿宋_GBK" w:eastAsia="方正仿宋_GBK" w:cs="方正仿宋_GBK"/>
          <w:color w:val="000000"/>
          <w:kern w:val="0"/>
          <w:sz w:val="28"/>
          <w:szCs w:val="28"/>
        </w:rPr>
      </w:pP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供应商</w:t>
      </w:r>
      <w:r>
        <w:rPr>
          <w:rFonts w:hint="eastAsia" w:ascii="方正仿宋_GBK" w:hAnsi="方正仿宋_GBK" w:eastAsia="方正仿宋_GBK" w:cs="方正仿宋_GBK"/>
          <w:color w:val="000000"/>
          <w:kern w:val="0"/>
          <w:sz w:val="28"/>
          <w:szCs w:val="28"/>
        </w:rPr>
        <w:t xml:space="preserve">名称（单位盖章）：      </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 xml:space="preserve">    </w:t>
      </w: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 xml:space="preserve">    </w:t>
      </w: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  期：   年   月   日</w:t>
      </w:r>
    </w:p>
    <w:p>
      <w:pPr>
        <w:pStyle w:val="2"/>
        <w:rPr>
          <w:rFonts w:hint="eastAsia" w:ascii="方正仿宋_GBK" w:hAnsi="方正仿宋_GBK" w:eastAsia="方正仿宋_GBK" w:cs="方正仿宋_GBK"/>
          <w:color w:val="000000"/>
          <w:kern w:val="0"/>
          <w:sz w:val="28"/>
          <w:szCs w:val="28"/>
        </w:rPr>
      </w:pPr>
    </w:p>
    <w:p>
      <w:pPr>
        <w:numPr>
          <w:ilvl w:val="0"/>
          <w:numId w:val="0"/>
        </w:numPr>
        <w:spacing w:line="360" w:lineRule="auto"/>
        <w:jc w:val="center"/>
        <w:rPr>
          <w:rFonts w:ascii="方正仿宋_GBK" w:eastAsia="方正仿宋_GBK"/>
          <w:b/>
          <w:color w:val="auto"/>
          <w:sz w:val="28"/>
          <w:szCs w:val="28"/>
        </w:rPr>
        <w:sectPr>
          <w:pgSz w:w="11906" w:h="16838"/>
          <w:pgMar w:top="1440" w:right="1800" w:bottom="1327" w:left="1800" w:header="907" w:footer="964" w:gutter="0"/>
          <w:pgNumType w:fmt="decimal"/>
          <w:cols w:space="720" w:num="1"/>
          <w:docGrid w:type="lines" w:linePitch="312" w:charSpace="0"/>
        </w:sectPr>
      </w:pPr>
    </w:p>
    <w:p>
      <w:pPr>
        <w:numPr>
          <w:ilvl w:val="0"/>
          <w:numId w:val="0"/>
        </w:numPr>
        <w:spacing w:line="360" w:lineRule="auto"/>
        <w:jc w:val="center"/>
        <w:rPr>
          <w:rFonts w:hint="eastAsia"/>
          <w:b/>
          <w:color w:val="auto"/>
          <w:sz w:val="28"/>
          <w:szCs w:val="28"/>
          <w:lang w:eastAsia="zh-CN"/>
        </w:rPr>
      </w:pPr>
      <w:r>
        <w:rPr>
          <w:rFonts w:ascii="方正仿宋_GBK" w:eastAsia="方正仿宋_GBK"/>
          <w:b/>
          <w:color w:val="auto"/>
          <w:sz w:val="28"/>
          <w:szCs w:val="28"/>
        </w:rPr>
        <w:t>中小企业声明函</w:t>
      </w:r>
      <w:r>
        <w:rPr>
          <w:rFonts w:hint="eastAsia" w:ascii="方正仿宋_GBK" w:eastAsia="方正仿宋_GBK"/>
          <w:b/>
          <w:color w:val="auto"/>
          <w:sz w:val="28"/>
          <w:szCs w:val="28"/>
          <w:lang w:eastAsia="zh-CN"/>
        </w:rPr>
        <w:t>（如有）</w:t>
      </w:r>
    </w:p>
    <w:p>
      <w:pPr>
        <w:pStyle w:val="2"/>
        <w:numPr>
          <w:ilvl w:val="0"/>
          <w:numId w:val="0"/>
        </w:numPr>
        <w:rPr>
          <w:rFonts w:hint="eastAsia"/>
          <w:lang w:eastAsia="zh-CN"/>
        </w:rPr>
      </w:pPr>
    </w:p>
    <w:p>
      <w:pPr>
        <w:spacing w:line="360" w:lineRule="auto"/>
        <w:ind w:firstLine="560" w:firstLineChars="200"/>
        <w:rPr>
          <w:rFonts w:ascii="方正仿宋_GBK" w:eastAsia="方正仿宋_GBK"/>
          <w:color w:val="auto"/>
          <w:sz w:val="28"/>
          <w:szCs w:val="28"/>
        </w:rPr>
      </w:pPr>
      <w:r>
        <w:rPr>
          <w:rFonts w:ascii="方正仿宋_GBK" w:eastAsia="方正仿宋_GBK"/>
          <w:color w:val="auto"/>
          <w:sz w:val="28"/>
          <w:szCs w:val="28"/>
        </w:rPr>
        <w:t>本公司郑重声明，根据《政府采购促进中小企业发展</w:t>
      </w:r>
      <w:r>
        <w:rPr>
          <w:rFonts w:hint="eastAsia" w:ascii="方正仿宋_GBK" w:eastAsia="方正仿宋_GBK"/>
          <w:color w:val="auto"/>
          <w:sz w:val="28"/>
          <w:szCs w:val="28"/>
          <w:lang w:eastAsia="zh-CN"/>
        </w:rPr>
        <w:t>管理</w:t>
      </w:r>
      <w:r>
        <w:rPr>
          <w:rFonts w:ascii="方正仿宋_GBK" w:eastAsia="方正仿宋_GBK"/>
          <w:color w:val="auto"/>
          <w:sz w:val="28"/>
          <w:szCs w:val="28"/>
        </w:rPr>
        <w:t>办法》（财库〔20</w:t>
      </w:r>
      <w:r>
        <w:rPr>
          <w:rFonts w:hint="eastAsia" w:ascii="方正仿宋_GBK" w:eastAsia="方正仿宋_GBK"/>
          <w:color w:val="auto"/>
          <w:sz w:val="28"/>
          <w:szCs w:val="28"/>
          <w:lang w:val="en-US" w:eastAsia="zh-CN"/>
        </w:rPr>
        <w:t>20</w:t>
      </w:r>
      <w:r>
        <w:rPr>
          <w:rFonts w:ascii="方正仿宋_GBK" w:eastAsia="方正仿宋_GBK"/>
          <w:color w:val="auto"/>
          <w:sz w:val="28"/>
          <w:szCs w:val="28"/>
        </w:rPr>
        <w:t>〕</w:t>
      </w:r>
      <w:r>
        <w:rPr>
          <w:rFonts w:hint="eastAsia" w:ascii="方正仿宋_GBK" w:eastAsia="方正仿宋_GBK"/>
          <w:color w:val="auto"/>
          <w:sz w:val="28"/>
          <w:szCs w:val="28"/>
          <w:lang w:val="en-US" w:eastAsia="zh-CN"/>
        </w:rPr>
        <w:t>46</w:t>
      </w:r>
      <w:r>
        <w:rPr>
          <w:rFonts w:ascii="方正仿宋_GBK" w:eastAsia="方正仿宋_GBK"/>
          <w:color w:val="auto"/>
          <w:sz w:val="28"/>
          <w:szCs w:val="28"/>
        </w:rPr>
        <w:t>号）或《政府采购支持监狱企业发展有关问题的通知》（财库〔2014〕68号）的规定，本公司为</w:t>
      </w:r>
      <w:r>
        <w:rPr>
          <w:rFonts w:hint="eastAsia" w:ascii="方正仿宋_GBK" w:eastAsia="方正仿宋_GBK"/>
          <w:color w:val="auto"/>
          <w:sz w:val="28"/>
          <w:szCs w:val="28"/>
          <w:u w:val="single"/>
        </w:rPr>
        <w:t xml:space="preserve">     </w:t>
      </w:r>
      <w:r>
        <w:rPr>
          <w:rFonts w:ascii="方正仿宋_GBK" w:eastAsia="方正仿宋_GBK"/>
          <w:color w:val="auto"/>
          <w:sz w:val="28"/>
          <w:szCs w:val="28"/>
        </w:rPr>
        <w:t>（请填写：中型、小型、微型或监狱）企业。即，本公司同时满足以下条件：</w:t>
      </w:r>
    </w:p>
    <w:p>
      <w:pPr>
        <w:spacing w:line="360" w:lineRule="auto"/>
        <w:ind w:firstLine="560" w:firstLineChars="200"/>
        <w:rPr>
          <w:rFonts w:ascii="方正仿宋_GBK" w:eastAsia="方正仿宋_GBK"/>
          <w:color w:val="auto"/>
          <w:sz w:val="28"/>
          <w:szCs w:val="28"/>
        </w:rPr>
      </w:pPr>
      <w:r>
        <w:rPr>
          <w:rFonts w:ascii="方正仿宋_GBK" w:eastAsia="方正仿宋_GBK"/>
          <w:color w:val="auto"/>
          <w:sz w:val="28"/>
          <w:szCs w:val="28"/>
        </w:rPr>
        <w:t>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hint="eastAsia" w:ascii="方正仿宋_GBK" w:eastAsia="方正仿宋_GBK"/>
          <w:color w:val="auto"/>
          <w:sz w:val="28"/>
          <w:szCs w:val="28"/>
          <w:u w:val="single"/>
        </w:rPr>
        <w:t xml:space="preserve">       </w:t>
      </w:r>
      <w:r>
        <w:rPr>
          <w:rFonts w:ascii="方正仿宋_GBK" w:eastAsia="方正仿宋_GBK"/>
          <w:color w:val="auto"/>
          <w:sz w:val="28"/>
          <w:szCs w:val="28"/>
        </w:rPr>
        <w:t>（请填写：中型、小型、微型或监狱）企业。</w:t>
      </w:r>
    </w:p>
    <w:p>
      <w:pPr>
        <w:spacing w:line="360" w:lineRule="auto"/>
        <w:ind w:firstLine="560" w:firstLineChars="200"/>
        <w:rPr>
          <w:rFonts w:ascii="方正仿宋_GBK" w:eastAsia="方正仿宋_GBK"/>
          <w:color w:val="auto"/>
          <w:sz w:val="28"/>
          <w:szCs w:val="28"/>
        </w:rPr>
      </w:pPr>
      <w:r>
        <w:rPr>
          <w:rFonts w:ascii="方正仿宋_GBK" w:eastAsia="方正仿宋_GBK"/>
          <w:color w:val="auto"/>
          <w:sz w:val="28"/>
          <w:szCs w:val="28"/>
        </w:rPr>
        <w:t>本公司参加</w:t>
      </w:r>
      <w:r>
        <w:rPr>
          <w:rFonts w:hint="eastAsia" w:ascii="方正仿宋_GBK" w:eastAsia="方正仿宋_GBK"/>
          <w:i/>
          <w:iCs/>
          <w:color w:val="auto"/>
          <w:sz w:val="28"/>
          <w:szCs w:val="28"/>
          <w:u w:val="single"/>
        </w:rPr>
        <w:t xml:space="preserve">         </w:t>
      </w:r>
      <w:r>
        <w:rPr>
          <w:rFonts w:ascii="方正仿宋_GBK" w:eastAsia="方正仿宋_GBK"/>
          <w:color w:val="auto"/>
          <w:sz w:val="28"/>
          <w:szCs w:val="28"/>
        </w:rPr>
        <w:t>单位的</w:t>
      </w:r>
      <w:r>
        <w:rPr>
          <w:rFonts w:hint="eastAsia" w:ascii="方正仿宋_GBK" w:eastAsia="方正仿宋_GBK"/>
          <w:color w:val="auto"/>
          <w:sz w:val="28"/>
          <w:szCs w:val="28"/>
          <w:u w:val="single"/>
        </w:rPr>
        <w:t xml:space="preserve">          </w:t>
      </w:r>
      <w:r>
        <w:rPr>
          <w:rFonts w:ascii="方正仿宋_GBK" w:eastAsia="方正仿宋_GBK"/>
          <w:color w:val="auto"/>
          <w:sz w:val="28"/>
          <w:szCs w:val="28"/>
        </w:rPr>
        <w:t>项目采购活动提供本企业制造的货物及服务， 由本企业承担工程、提供服务，或者提供其他</w:t>
      </w:r>
      <w:r>
        <w:rPr>
          <w:rFonts w:hint="eastAsia" w:ascii="方正仿宋_GBK" w:eastAsia="方正仿宋_GBK"/>
          <w:color w:val="auto"/>
          <w:sz w:val="28"/>
          <w:szCs w:val="28"/>
          <w:u w:val="single"/>
        </w:rPr>
        <w:t xml:space="preserve">     </w:t>
      </w:r>
      <w:r>
        <w:rPr>
          <w:rFonts w:ascii="方正仿宋_GBK" w:eastAsia="方正仿宋_GBK"/>
          <w:color w:val="auto"/>
          <w:sz w:val="28"/>
          <w:szCs w:val="28"/>
        </w:rPr>
        <w:t>（请填写：中型、小型、微型或监狱）企业制造的货物。本条所称货物不包括使用大型企业注册商标的货物。</w:t>
      </w:r>
    </w:p>
    <w:p>
      <w:pPr>
        <w:spacing w:line="360" w:lineRule="auto"/>
        <w:ind w:firstLine="560" w:firstLineChars="200"/>
        <w:rPr>
          <w:rFonts w:ascii="方正仿宋_GBK" w:eastAsia="方正仿宋_GBK"/>
          <w:color w:val="auto"/>
          <w:sz w:val="28"/>
          <w:szCs w:val="28"/>
        </w:rPr>
      </w:pPr>
      <w:r>
        <w:rPr>
          <w:rFonts w:ascii="方正仿宋_GBK" w:eastAsia="方正仿宋_GBK"/>
          <w:color w:val="auto"/>
          <w:sz w:val="28"/>
          <w:szCs w:val="28"/>
        </w:rPr>
        <w:t>本公司对上述声明的真实性负责。如有虚假，将依法承担相应责任。</w:t>
      </w:r>
    </w:p>
    <w:p>
      <w:pPr>
        <w:spacing w:line="360" w:lineRule="auto"/>
        <w:ind w:firstLine="560" w:firstLineChars="200"/>
        <w:rPr>
          <w:rFonts w:ascii="方正仿宋_GBK" w:eastAsia="方正仿宋_GBK"/>
          <w:color w:val="auto"/>
          <w:sz w:val="28"/>
          <w:szCs w:val="28"/>
        </w:rPr>
      </w:pPr>
    </w:p>
    <w:p>
      <w:pPr>
        <w:spacing w:line="360" w:lineRule="auto"/>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lang w:eastAsia="zh-CN"/>
        </w:rPr>
        <w:t>供应商</w:t>
      </w:r>
      <w:r>
        <w:rPr>
          <w:rFonts w:hint="eastAsia" w:ascii="方正仿宋_GBK" w:eastAsia="方正仿宋_GBK"/>
          <w:color w:val="auto"/>
          <w:sz w:val="28"/>
          <w:szCs w:val="28"/>
        </w:rPr>
        <w:t xml:space="preserve">名称（单位盖章）：      </w:t>
      </w:r>
      <w:r>
        <w:rPr>
          <w:rFonts w:hint="eastAsia" w:ascii="方正仿宋_GBK" w:eastAsia="方正仿宋_GBK"/>
          <w:color w:val="auto"/>
          <w:sz w:val="28"/>
          <w:szCs w:val="28"/>
          <w:lang w:val="en-US" w:eastAsia="zh-CN"/>
        </w:rPr>
        <w:t xml:space="preserve"> </w:t>
      </w:r>
      <w:r>
        <w:rPr>
          <w:rFonts w:hint="eastAsia" w:ascii="方正仿宋_GBK" w:eastAsia="方正仿宋_GBK"/>
          <w:color w:val="auto"/>
          <w:sz w:val="28"/>
          <w:szCs w:val="28"/>
        </w:rPr>
        <w:t xml:space="preserve">    </w:t>
      </w:r>
    </w:p>
    <w:p>
      <w:pPr>
        <w:spacing w:line="360" w:lineRule="auto"/>
        <w:ind w:firstLine="560" w:firstLineChars="200"/>
        <w:rPr>
          <w:rFonts w:hint="eastAsia" w:ascii="方正仿宋_GBK" w:eastAsia="方正仿宋_GBK"/>
          <w:color w:val="auto"/>
          <w:sz w:val="28"/>
          <w:szCs w:val="28"/>
        </w:rPr>
      </w:pPr>
      <w:r>
        <w:rPr>
          <w:rFonts w:hint="eastAsia" w:ascii="方正仿宋_GBK" w:hAnsi="方正仿宋_GBK" w:eastAsia="方正仿宋_GBK" w:cs="方正仿宋_GBK"/>
          <w:sz w:val="28"/>
          <w:szCs w:val="28"/>
        </w:rPr>
        <w:t>供应商代表</w:t>
      </w:r>
      <w:r>
        <w:rPr>
          <w:rFonts w:hint="eastAsia" w:ascii="方正仿宋_GBK" w:eastAsia="方正仿宋_GBK"/>
          <w:color w:val="auto"/>
          <w:sz w:val="28"/>
          <w:szCs w:val="28"/>
        </w:rPr>
        <w:t xml:space="preserve">（签字）：      </w:t>
      </w:r>
      <w:r>
        <w:rPr>
          <w:rFonts w:hint="eastAsia" w:ascii="方正仿宋_GBK" w:eastAsia="方正仿宋_GBK"/>
          <w:color w:val="auto"/>
          <w:sz w:val="28"/>
          <w:szCs w:val="28"/>
          <w:lang w:val="en-US" w:eastAsia="zh-CN"/>
        </w:rPr>
        <w:t xml:space="preserve"> </w:t>
      </w:r>
      <w:r>
        <w:rPr>
          <w:rFonts w:hint="eastAsia" w:ascii="方正仿宋_GBK" w:eastAsia="方正仿宋_GBK"/>
          <w:color w:val="auto"/>
          <w:sz w:val="28"/>
          <w:szCs w:val="28"/>
        </w:rPr>
        <w:t xml:space="preserve">    </w:t>
      </w:r>
    </w:p>
    <w:p>
      <w:pPr>
        <w:spacing w:line="360" w:lineRule="auto"/>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日  期：   年   月   日</w:t>
      </w:r>
    </w:p>
    <w:p>
      <w:pPr>
        <w:spacing w:line="360" w:lineRule="auto"/>
        <w:jc w:val="both"/>
        <w:rPr>
          <w:rFonts w:hint="eastAsia" w:ascii="方正仿宋_GBK" w:hAnsi="方正仿宋_GBK" w:eastAsia="方正仿宋_GBK" w:cs="方正仿宋_GBK"/>
          <w:b/>
          <w:bCs/>
          <w:color w:val="000000"/>
          <w:kern w:val="0"/>
          <w:sz w:val="28"/>
          <w:szCs w:val="28"/>
          <w:lang w:eastAsia="zh-CN"/>
        </w:rPr>
      </w:pPr>
    </w:p>
    <w:p>
      <w:pPr>
        <w:pStyle w:val="2"/>
        <w:rPr>
          <w:rFonts w:hint="eastAsia"/>
        </w:rPr>
      </w:pPr>
    </w:p>
    <w:p>
      <w:pPr>
        <w:rPr>
          <w:rFonts w:hint="eastAsia"/>
        </w:rPr>
        <w:sectPr>
          <w:pgSz w:w="11906" w:h="16838"/>
          <w:pgMar w:top="1440" w:right="1800" w:bottom="1327" w:left="1800" w:header="907" w:footer="964" w:gutter="0"/>
          <w:pgNumType w:fmt="decimal"/>
          <w:cols w:space="720" w:num="1"/>
          <w:docGrid w:type="lines" w:linePitch="312" w:charSpace="0"/>
        </w:sectPr>
      </w:pP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供应商诚信情况承诺函</w:t>
      </w:r>
    </w:p>
    <w:p>
      <w:pPr>
        <w:spacing w:line="360" w:lineRule="auto"/>
        <w:rPr>
          <w:rFonts w:ascii="方正仿宋_GBK" w:hAnsi="方正仿宋_GBK" w:eastAsia="方正仿宋_GBK" w:cs="方正仿宋_GBK"/>
          <w:bCs/>
          <w:color w:val="000000"/>
          <w:kern w:val="0"/>
          <w:sz w:val="28"/>
          <w:szCs w:val="28"/>
        </w:rPr>
      </w:pPr>
    </w:p>
    <w:p>
      <w:pPr>
        <w:spacing w:line="360" w:lineRule="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致四川振嘉工程招标代理有限责任公司：</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本单位</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（供应商名称）参加</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（项目名称及项目编号）的政府采购活动，现根据《四川省政府采购当事人诚信管理办法》川财采〔2015〕33号的相关规定，针对本单位的诚信情况作出以下承诺：</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我单位具有《四川省政府采购当事人诚信管理办法》（川财采[2015]33号）所规定的失信行为</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次（填写失信行为的次数时，建议使用大写数字，如零、壹、贰、叁、肆等。）；（仅限</w:t>
      </w:r>
      <w:r>
        <w:rPr>
          <w:rFonts w:hint="eastAsia" w:ascii="方正仿宋_GBK" w:hAnsi="方正仿宋_GBK" w:eastAsia="方正仿宋_GBK" w:cs="方正仿宋_GBK"/>
          <w:color w:val="000000"/>
          <w:kern w:val="0"/>
          <w:sz w:val="28"/>
          <w:szCs w:val="28"/>
          <w:lang w:eastAsia="zh-CN"/>
        </w:rPr>
        <w:t>磋商</w:t>
      </w:r>
      <w:r>
        <w:rPr>
          <w:rFonts w:hint="eastAsia" w:ascii="方正仿宋_GBK" w:hAnsi="方正仿宋_GBK" w:eastAsia="方正仿宋_GBK" w:cs="方正仿宋_GBK"/>
          <w:color w:val="000000"/>
          <w:kern w:val="0"/>
          <w:sz w:val="28"/>
          <w:szCs w:val="28"/>
        </w:rPr>
        <w:t>截止当日仍在有效期的次数）</w:t>
      </w:r>
    </w:p>
    <w:p>
      <w:pPr>
        <w:spacing w:line="360" w:lineRule="auto"/>
        <w:rPr>
          <w:rFonts w:ascii="方正仿宋_GBK" w:hAnsi="方正仿宋_GBK" w:eastAsia="方正仿宋_GBK" w:cs="方正仿宋_GBK"/>
          <w:color w:val="000000"/>
          <w:kern w:val="0"/>
          <w:sz w:val="28"/>
          <w:szCs w:val="28"/>
        </w:rPr>
      </w:pP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我单位对以上填写信息的真实性负责。如有不实，本单位愿承担由此产生的一切法律责任和后果。</w:t>
      </w:r>
    </w:p>
    <w:p>
      <w:pPr>
        <w:spacing w:line="360" w:lineRule="auto"/>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360" w:lineRule="auto"/>
        <w:rPr>
          <w:rFonts w:ascii="方正仿宋_GBK" w:hAnsi="方正仿宋_GBK" w:eastAsia="方正仿宋_GBK" w:cs="方正仿宋_GBK"/>
          <w:color w:val="000000"/>
          <w:kern w:val="0"/>
          <w:sz w:val="28"/>
          <w:szCs w:val="28"/>
        </w:rPr>
      </w:pPr>
    </w:p>
    <w:p>
      <w:pPr>
        <w:spacing w:line="360" w:lineRule="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1、本表格式及内容仅供参考，供应商也可提供自己的格式；</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2、供应商存在以上所述失信行为的，将按照文件规定要求进行处理；</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3、财政部门对政府采购当事人的失信行为依法进行处罚、处理后，应当在</w:t>
      </w:r>
      <w:r>
        <w:rPr>
          <w:rFonts w:hint="eastAsia" w:ascii="方正仿宋_GBK" w:hAnsi="方正仿宋_GBK" w:eastAsia="方正仿宋_GBK" w:cs="方正仿宋_GBK"/>
          <w:color w:val="000000"/>
          <w:kern w:val="0"/>
          <w:sz w:val="28"/>
          <w:szCs w:val="28"/>
          <w:lang w:eastAsia="zh-CN"/>
        </w:rPr>
        <w:t>中国政府采购网</w:t>
      </w:r>
      <w:r>
        <w:rPr>
          <w:rFonts w:hint="eastAsia" w:ascii="方正仿宋_GBK" w:hAnsi="方正仿宋_GBK" w:eastAsia="方正仿宋_GBK" w:cs="方正仿宋_GBK"/>
          <w:color w:val="000000"/>
          <w:kern w:val="0"/>
          <w:sz w:val="28"/>
          <w:szCs w:val="28"/>
        </w:rPr>
        <w:t>向社会公告，并记入诚信档案，有效期为1年。工商部门、税务部门、审判机关及其他有关部门单位认定供应商的失信行为明确了有效期的，不再重复计算。</w:t>
      </w:r>
    </w:p>
    <w:p>
      <w:pPr>
        <w:pStyle w:val="2"/>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4、供应商的失信行为受到行政处罚或司法惩处的，评审时不再对其以价格加成进行惩戒。</w:t>
      </w: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br w:type="page"/>
      </w:r>
    </w:p>
    <w:p>
      <w:pPr>
        <w:pStyle w:val="2"/>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其他相关材料</w:t>
      </w:r>
      <w:r>
        <w:rPr>
          <w:rFonts w:hint="eastAsia" w:ascii="方正仿宋_GBK" w:hAnsi="方正仿宋_GBK" w:eastAsia="方正仿宋_GBK" w:cs="方正仿宋_GBK"/>
          <w:sz w:val="28"/>
          <w:szCs w:val="28"/>
        </w:rPr>
        <w:br w:type="textWrapping"/>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r>
        <w:rPr>
          <w:rFonts w:hint="eastAsia" w:ascii="方正仿宋_GBK" w:hAnsi="方正仿宋_GBK" w:eastAsia="方正仿宋_GBK" w:cs="方正仿宋_GBK"/>
          <w:sz w:val="28"/>
          <w:szCs w:val="28"/>
        </w:rPr>
        <w:br w:type="textWrapping"/>
      </w: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360" w:lineRule="auto"/>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报价单（）轮</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项目名称：</w:t>
      </w:r>
    </w:p>
    <w:p>
      <w:p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项目编号：</w:t>
      </w:r>
      <w:r>
        <w:rPr>
          <w:rFonts w:hint="eastAsia" w:ascii="方正仿宋_GBK" w:hAnsi="方正仿宋_GBK" w:eastAsia="方正仿宋_GBK" w:cs="方正仿宋_GBK"/>
          <w:kern w:val="2"/>
          <w:sz w:val="28"/>
          <w:szCs w:val="28"/>
          <w:lang w:val="en-US" w:eastAsia="zh-CN" w:bidi="ar-SA"/>
        </w:rPr>
        <w:tab/>
      </w:r>
      <w:r>
        <w:rPr>
          <w:rFonts w:hint="eastAsia" w:ascii="方正仿宋_GBK" w:hAnsi="方正仿宋_GBK" w:eastAsia="方正仿宋_GBK" w:cs="方正仿宋_GBK"/>
          <w:kern w:val="2"/>
          <w:sz w:val="28"/>
          <w:szCs w:val="28"/>
          <w:lang w:val="en-US" w:eastAsia="zh-CN" w:bidi="ar-SA"/>
        </w:rPr>
        <w:t xml:space="preserve">  </w:t>
      </w:r>
    </w:p>
    <w:tbl>
      <w:tblPr>
        <w:tblStyle w:val="20"/>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649"/>
        <w:gridCol w:w="266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序号</w:t>
            </w:r>
          </w:p>
        </w:tc>
        <w:tc>
          <w:tcPr>
            <w:tcW w:w="26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采购内容</w:t>
            </w:r>
          </w:p>
        </w:tc>
        <w:tc>
          <w:tcPr>
            <w:tcW w:w="2660"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报价下浮率     %</w:t>
            </w:r>
          </w:p>
        </w:tc>
        <w:tc>
          <w:tcPr>
            <w:tcW w:w="1466"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2649" w:type="dxa"/>
            <w:vAlign w:val="center"/>
          </w:tcPr>
          <w:p>
            <w:pPr>
              <w:spacing w:line="360" w:lineRule="auto"/>
              <w:jc w:val="both"/>
              <w:rPr>
                <w:rFonts w:hint="eastAsia" w:ascii="方正仿宋_GBK" w:hAnsi="方正仿宋_GBK" w:eastAsia="方正仿宋_GBK" w:cs="方正仿宋_GBK"/>
                <w:kern w:val="2"/>
                <w:sz w:val="28"/>
                <w:szCs w:val="28"/>
                <w:lang w:val="en-US" w:eastAsia="zh-CN" w:bidi="ar-SA"/>
              </w:rPr>
            </w:pPr>
          </w:p>
        </w:tc>
        <w:tc>
          <w:tcPr>
            <w:tcW w:w="2660"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1466"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2649" w:type="dxa"/>
            <w:vAlign w:val="center"/>
          </w:tcPr>
          <w:p>
            <w:pPr>
              <w:spacing w:line="360" w:lineRule="auto"/>
              <w:jc w:val="both"/>
              <w:rPr>
                <w:rFonts w:hint="eastAsia" w:ascii="方正仿宋_GBK" w:hAnsi="方正仿宋_GBK" w:eastAsia="方正仿宋_GBK" w:cs="方正仿宋_GBK"/>
                <w:kern w:val="2"/>
                <w:sz w:val="28"/>
                <w:szCs w:val="28"/>
                <w:lang w:val="en-US" w:eastAsia="zh-CN" w:bidi="ar-SA"/>
              </w:rPr>
            </w:pPr>
          </w:p>
        </w:tc>
        <w:tc>
          <w:tcPr>
            <w:tcW w:w="2660"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1466"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r>
    </w:tbl>
    <w:p>
      <w:pPr>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1.市发改委有价格监测的，以市发改委价格监测中心监测价格下浮比例报价；未纳入监测的以采购人和供应商双方调查的市场价为下浮比例报价；采购人和供应商双方调查的市场基准价不得高于巴中市当地大型超市的价格，大型超市如沃尔玛、北山超市及世纪隆超市。</w:t>
      </w:r>
    </w:p>
    <w:p>
      <w:pPr>
        <w:spacing w:line="360" w:lineRule="auto"/>
        <w:ind w:firstLine="1120" w:firstLineChars="4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2.报价应中须包含商品价格、配送人工费、运费、税金、上下车搬运费和采购文件规定的其它费用。 </w:t>
      </w:r>
    </w:p>
    <w:p>
      <w:pPr>
        <w:rPr>
          <w:rFonts w:hint="eastAsia" w:ascii="方正仿宋_GBK" w:hAnsi="方正仿宋_GBK" w:eastAsia="方正仿宋_GBK" w:cs="方正仿宋_GBK"/>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供应商名称（单位盖章）：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kern w:val="2"/>
          <w:sz w:val="28"/>
          <w:szCs w:val="28"/>
          <w:lang w:val="en-US" w:eastAsia="zh-CN" w:bidi="ar-SA"/>
        </w:rPr>
        <w:t>日  期：   年   月   日</w:t>
      </w:r>
    </w:p>
    <w:p>
      <w:pPr>
        <w:pStyle w:val="2"/>
        <w:spacing w:line="360" w:lineRule="auto"/>
        <w:rPr>
          <w:rFonts w:hint="eastAsia" w:ascii="方正仿宋_GBK" w:hAnsi="方正仿宋_GBK" w:eastAsia="方正仿宋_GBK" w:cs="方正仿宋_GBK"/>
          <w:b/>
          <w:bCs/>
          <w:sz w:val="28"/>
          <w:szCs w:val="28"/>
        </w:rPr>
      </w:pPr>
    </w:p>
    <w:p>
      <w:pPr>
        <w:pStyle w:val="2"/>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w:t>
      </w:r>
      <w:r>
        <w:rPr>
          <w:rFonts w:hint="eastAsia" w:ascii="方正仿宋_GBK" w:hAnsi="方正仿宋_GBK" w:eastAsia="方正仿宋_GBK" w:cs="方正仿宋_GBK"/>
          <w:b/>
          <w:bCs/>
          <w:sz w:val="28"/>
          <w:szCs w:val="28"/>
          <w:lang w:eastAsia="zh-CN"/>
        </w:rPr>
        <w:t>磋商</w:t>
      </w:r>
      <w:r>
        <w:rPr>
          <w:rFonts w:hint="eastAsia" w:ascii="方正仿宋_GBK" w:hAnsi="方正仿宋_GBK" w:eastAsia="方正仿宋_GBK" w:cs="方正仿宋_GBK"/>
          <w:b/>
          <w:bCs/>
          <w:sz w:val="28"/>
          <w:szCs w:val="28"/>
        </w:rPr>
        <w:t>结束后密封提交（自行准备密封袋）。</w:t>
      </w:r>
    </w:p>
    <w:p>
      <w:pPr>
        <w:rPr>
          <w:rFonts w:ascii="方正仿宋_GBK" w:hAnsi="方正仿宋_GBK" w:eastAsia="方正仿宋_GBK" w:cs="方正仿宋_GBK"/>
          <w:sz w:val="28"/>
          <w:szCs w:val="28"/>
        </w:rPr>
        <w:sectPr>
          <w:pgSz w:w="11906" w:h="16838"/>
          <w:pgMar w:top="1440" w:right="1803" w:bottom="1440" w:left="1803" w:header="851" w:footer="992" w:gutter="0"/>
          <w:pgNumType w:fmt="decimal"/>
          <w:cols w:space="720" w:num="1"/>
          <w:docGrid w:type="lines" w:linePitch="312" w:charSpace="0"/>
        </w:sectPr>
      </w:pPr>
    </w:p>
    <w:p>
      <w:pPr>
        <w:pStyle w:val="3"/>
        <w:rPr>
          <w:rFonts w:ascii="方正仿宋_GBK" w:hAnsi="方正仿宋_GBK"/>
          <w:sz w:val="28"/>
          <w:szCs w:val="28"/>
        </w:rPr>
      </w:pPr>
      <w:bookmarkStart w:id="9" w:name="_Toc20435"/>
      <w:r>
        <w:rPr>
          <w:rFonts w:hint="eastAsia" w:ascii="方正仿宋_GBK" w:hAnsi="方正仿宋_GBK"/>
          <w:sz w:val="28"/>
          <w:szCs w:val="28"/>
          <w:lang w:eastAsia="zh-CN"/>
        </w:rPr>
        <w:t>七</w:t>
      </w:r>
      <w:r>
        <w:rPr>
          <w:rFonts w:hint="eastAsia" w:ascii="方正仿宋_GBK" w:hAnsi="方正仿宋_GBK"/>
          <w:sz w:val="28"/>
          <w:szCs w:val="28"/>
        </w:rPr>
        <w:t>、确定成交供应商的原则</w:t>
      </w:r>
      <w:bookmarkEnd w:id="9"/>
    </w:p>
    <w:p>
      <w:pPr>
        <w:widowControl/>
        <w:ind w:firstLine="420" w:firstLineChars="15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本项目采购方式为竞争性</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采购,须按</w:t>
      </w:r>
      <w:r>
        <w:rPr>
          <w:rFonts w:hint="eastAsia" w:ascii="方正仿宋_GBK" w:hAnsi="方正仿宋_GBK" w:eastAsia="方正仿宋_GBK" w:cs="方正仿宋_GBK"/>
          <w:sz w:val="28"/>
          <w:szCs w:val="28"/>
          <w:lang w:eastAsia="zh-CN"/>
        </w:rPr>
        <w:t>综合评分</w:t>
      </w:r>
      <w:r>
        <w:rPr>
          <w:rFonts w:hint="eastAsia" w:ascii="方正仿宋_GBK" w:hAnsi="方正仿宋_GBK" w:eastAsia="方正仿宋_GBK" w:cs="方正仿宋_GBK"/>
          <w:sz w:val="28"/>
          <w:szCs w:val="28"/>
        </w:rPr>
        <w:t>法进行评审</w:t>
      </w:r>
      <w:r>
        <w:rPr>
          <w:rFonts w:hint="eastAsia" w:ascii="方正仿宋_GBK" w:hAnsi="方正仿宋_GBK" w:eastAsia="方正仿宋_GBK" w:cs="方正仿宋_GBK"/>
          <w:sz w:val="28"/>
          <w:szCs w:val="28"/>
          <w:lang w:eastAsia="zh-CN"/>
        </w:rPr>
        <w:t>。</w:t>
      </w:r>
    </w:p>
    <w:p>
      <w:pPr>
        <w:pStyle w:val="3"/>
        <w:numPr>
          <w:ilvl w:val="0"/>
          <w:numId w:val="0"/>
        </w:numPr>
        <w:spacing w:line="360" w:lineRule="auto"/>
        <w:rPr>
          <w:rFonts w:hint="eastAsia" w:ascii="方正仿宋_GBK" w:hAnsi="方正仿宋_GBK" w:eastAsia="方正仿宋_GBK" w:cs="方正仿宋_GBK"/>
          <w:b/>
          <w:bCs/>
          <w:kern w:val="2"/>
          <w:sz w:val="28"/>
          <w:szCs w:val="28"/>
          <w:lang w:val="en-US" w:eastAsia="zh-CN" w:bidi="ar-SA"/>
        </w:rPr>
      </w:pPr>
      <w:bookmarkStart w:id="10" w:name="_Toc19913"/>
      <w:bookmarkStart w:id="11" w:name="_Toc32455"/>
      <w:bookmarkStart w:id="12" w:name="_Toc7528"/>
      <w:bookmarkStart w:id="13" w:name="_Toc6909"/>
      <w:r>
        <w:rPr>
          <w:rFonts w:hint="eastAsia" w:ascii="方正仿宋_GBK" w:hAnsi="方正仿宋_GBK" w:cs="方正仿宋_GBK"/>
          <w:b/>
          <w:bCs/>
          <w:kern w:val="2"/>
          <w:sz w:val="28"/>
          <w:szCs w:val="28"/>
          <w:lang w:val="en-US" w:eastAsia="zh-CN" w:bidi="ar-SA"/>
        </w:rPr>
        <w:t>八、</w:t>
      </w:r>
      <w:r>
        <w:rPr>
          <w:rFonts w:hint="eastAsia" w:ascii="方正仿宋_GBK" w:hAnsi="方正仿宋_GBK" w:eastAsia="方正仿宋_GBK" w:cs="方正仿宋_GBK"/>
          <w:b/>
          <w:bCs/>
          <w:kern w:val="2"/>
          <w:sz w:val="28"/>
          <w:szCs w:val="28"/>
          <w:lang w:val="en-US" w:eastAsia="zh-CN" w:bidi="ar-SA"/>
        </w:rPr>
        <w:t>磋商程序</w:t>
      </w:r>
      <w:bookmarkEnd w:id="10"/>
      <w:bookmarkEnd w:id="11"/>
      <w:bookmarkEnd w:id="12"/>
      <w:bookmarkEnd w:id="13"/>
    </w:p>
    <w:p>
      <w:pPr>
        <w:ind w:firstLine="560" w:firstLineChars="20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（一）审查磋商文件和停止评审。</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1、磋商小组正式评审前，应当对磋商文件进行熟悉和理解，内容主要包括磋商文件中供应商资格条件要求、采购项目技术、服务和商务要求、磋商办法和标准、政府采购政策要求以及政府采购合同主要条款等。</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2、本磋商文件有下列情形之一的，磋商小组应当停止评审：</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（1）磋商文件的规定存在歧义、重大缺陷的；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（2）磋商文件明显以不合理条件对供应商实行差别待遇或者歧视待遇的；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（3）采购项目属于国家规定的优先、强制采购范围，但是磋商文件未依法体现优先、强制采购相关规定的；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（4）采购项目属于政府采购促进中小企业发展的范围，但是磋商文件未依法体现促进中小企业发展相关规定的；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（5）磋商文件将供应商的资格条件列为评分因素的；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（6）磋商文件载明的成交原则不合法的；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（7）磋商文件有违反国家其他有关强制性规定的情形。</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3、出现本条1.2规定应当停止评审情形的，磋商小组应当向采购人书面说明情况。除本条规定的情形外，磋商小组不得以任何方式和理由停止评审。</w:t>
      </w:r>
    </w:p>
    <w:p>
      <w:pPr>
        <w:ind w:firstLine="560" w:firstLineChars="2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（二）资格性审查。</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1、本项目需要磋商小组进行资格性检查。</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磋商小组应依据法律法规和磋商文件的规定，对响应文件是否按照规定要求提供资格性证明材料、是否属于禁止参加磋商的供应商等进行审查，以确定供应商是否具备磋商资格。</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2、资格性审查结束后，磋商小组应当出具资格性审查报告，没有通过资格审查的供应商，磋商小组应当在资格审查报告中说明原因。</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3、磋商小组应依据磋商文件规定的实质性要求，对符合资格的响应文件进行有效性、完整性和响应程度审查，以确定参加磋商的供应商名单。</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4、采购代理机构宣布未通过资格性审查的供应商名单时，应当告知供应商未通过审查的原因。</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（三）通过资格性审查的供应商不足3家的（本章3.1的情形除外），终止本次采购活动，并发布终止采购活动公告。</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（四）磋商。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2、每轮磋商开始前，磋商小组应根据磋商文件的规定，并结合各供应商的响应文件拟定磋商内容。</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3、在磋商过程中，磋商小组可以根据磋商文件和磋商情况实质性变动磋商文件的技术、服务要求以及合同草案条款，但不得变动磋商文件中的其他内容。实质性变动的内容，须经采购人代表书面确认。</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4、对磋商文件作出的实质性变动是磋商文件的有效组成部分，磋商小组应当及时以书面形式同时通知所有参加磋商的供应商。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磋商过程中，磋商文件变动的，供应商应当按照磋商文件的变动情况和磋商小组的要求重新提交响应文件，并由其供应商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6、磋商过程中，磋商的任何一方不得透露与磋商有关的其他供应商的技术资料、价格和其他信息。</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7、磋商过程中，磋商小组发现或者知晓供应商存在违法、违纪行为的，磋商小组应当将该供应商响应文件作无效处理，不允许其提交最后报价。</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8、磋商完成后，磋商小组应出具磋商情况记录表，磋商情况记录表需包含磋商内容、磋商意见、实质性变动内容等。</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（五）最后报价。</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5.1磋商文件能够详细列明采购标的的技术、服务要求的，磋商结束后，磋商小组应当要求所有实质性响应的供应商在规定时间内提交最后报价，提交最后报价的供应商不得少于3家（本章3.1和5.2的情况除外）。或磋商文件不能详细列明采购标的的技术、服务要求，需经磋商由供应商提供最终设计方案或解决方案的，磋商结束后，磋商小组应当按照少数服从多数的原则投票推荐3家以上（本章3.1和5.2的情况除外）供应商的设计方案或者解决方案，并要求其在规定时间内提交最后报价。</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5.2符合</w:t>
      </w:r>
      <w:bookmarkStart w:id="14" w:name="_Toc30986"/>
      <w:r>
        <w:rPr>
          <w:rFonts w:hint="eastAsia" w:ascii="方正仿宋_GBK" w:hAnsi="方正仿宋_GBK" w:eastAsia="方正仿宋_GBK" w:cs="方正仿宋_GBK"/>
          <w:b w:val="0"/>
          <w:kern w:val="2"/>
          <w:sz w:val="28"/>
          <w:szCs w:val="28"/>
          <w:lang w:val="en-US" w:eastAsia="zh-CN" w:bidi="ar-SA"/>
        </w:rPr>
        <w:t>《政府采购竞争性磋商采购方式管理暂行办法财库》〔2014〕214号</w:t>
      </w:r>
      <w:bookmarkEnd w:id="14"/>
      <w:r>
        <w:rPr>
          <w:rFonts w:hint="eastAsia" w:ascii="方正仿宋_GBK" w:hAnsi="方正仿宋_GBK" w:eastAsia="方正仿宋_GBK" w:cs="方正仿宋_GBK"/>
          <w:b w:val="0"/>
          <w:kern w:val="2"/>
          <w:sz w:val="28"/>
          <w:szCs w:val="28"/>
          <w:lang w:val="en-US" w:eastAsia="zh-CN" w:bidi="ar-SA"/>
        </w:rPr>
        <w:t>第三条第四项情形的，提交最后报价的供应商可以为2家。</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5.4供应商最后报价应当由供应商签字确认或者盖公章。最后报价是供应商响应文件的有效组成部分。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5.5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（六）比较与评价。</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由磋商小组采用综合评分法对提交最后报价的供应商的响应文件和最后报价进行综合评分，具体要求详见本章综合评分部分。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（七）推荐成交候选供应商。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磋商小组应当根据综合评分情况，按照评审得分由高到低顺序推荐3家以上（本章3.1和5.2的情况除外）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（八）磋商小组复核。</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磋商小组评分汇总结束后，磋商小组应当进行评审复核，对拟推荐为成交候选供应商的、报价最低的、供应商资格审查未通过的、供应商响应文件作无效处理的重点复核。</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（九）采购组织单位现场复核评审结果。</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（1）资格性审查认定错误的；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（2）分值汇总计算错误的；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（3）分项评分超出评分标准范围的；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（4）客观评分不一致的。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采购人/采购代理机构复核过程中，磋商小组成员不得离开评审现场。</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2、有下列情形之一的，不得现场修改评审结果：</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（1）磋商小组已经出具磋商报告并且离开评审现场的；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（2）采购人/采购代理机构现场复核时，复核工作人员数量不足的；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（3）采购人/采购代理机构现场复核时，没有采购监督人员现场监督的；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（4）采购人/采购代理机构现场复核内容超出规定范围的；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（5）采购人/采购代理机构未提供书面建议的。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（十）编写磋商报告。</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磋商小组推荐成交候选供应商后，应向采购人/采购代理机构出具磋商报告。磋商报告应当包括以下主要内容：</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1、邀请供应商参加采购活动的具体方式和相关情况；</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2、响应文件开启日期和地点；</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3、获取磋商文件的供应商名单和磋商小组成员名单；</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4、评审情况记录和说明，包括对供应商的资格审查情况、供应商响应文件审查情况、磋商情况、报价情况等；</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5、提出的成交候选供应商的排序名单及理由。</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（十一）磋商异议处理规则。</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ind w:firstLine="280" w:firstLineChars="1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（十二）供应商澄清、说明</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2、磋商小组要求供应商澄清、说明或者更正响应文件应当以书面形式作出。供应商的澄清、说明或者更正应当由供应商代表签字或者加盖公章。</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（十三）终止磋商采购活动。</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出现下列情形之一的，采购人或者采购代理机构应当终止竞争性磋商采购活动，发布项目终止公告并说明原因，重新开展采购活动：</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1、因情况变化，不再符合规定的竞争性磋商采购方式适用情形的；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2、出现影响采购公正的违法、违规行为的；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3、除本章3.1和5.2的情况外，在采购过程中符合要求的供应商或者报价未超过采购预算的供应商不足3家的。</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（十四）综合评分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1、本项目采用综合评分法，评分因素详见综合评分明细表。</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评审时，磋商小组各成员据自身专业情况对每个有效投标供应商的响应文件进行独立评分，加权汇总每项评分因素的得分，得出每个有效投标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3、综合评分明细表</w:t>
      </w:r>
    </w:p>
    <w:p>
      <w:pPr>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3.1综合评分明细表的制定以科学合理、降低评委会自由裁量权为原则。</w:t>
      </w:r>
    </w:p>
    <w:p>
      <w:pPr>
        <w:pStyle w:val="2"/>
        <w:ind w:firstLine="560" w:firstLineChars="200"/>
        <w:rPr>
          <w:rFonts w:hint="eastAsia"/>
          <w:lang w:val="en-US" w:eastAsia="zh-CN"/>
        </w:rPr>
      </w:pPr>
      <w:r>
        <w:rPr>
          <w:rFonts w:hint="eastAsia" w:ascii="方正仿宋_GBK" w:hAnsi="方正仿宋_GBK" w:eastAsia="方正仿宋_GBK" w:cs="方正仿宋_GBK"/>
          <w:b w:val="0"/>
          <w:kern w:val="2"/>
          <w:sz w:val="28"/>
          <w:szCs w:val="28"/>
          <w:lang w:val="en-US" w:eastAsia="zh-CN" w:bidi="ar-SA"/>
        </w:rPr>
        <w:t>3.2</w:t>
      </w:r>
      <w:r>
        <w:rPr>
          <w:rFonts w:hint="eastAsia" w:ascii="方正仿宋_GBK" w:hAnsi="方正仿宋_GBK" w:eastAsia="方正仿宋_GBK" w:cs="方正仿宋_GBK"/>
          <w:sz w:val="28"/>
          <w:szCs w:val="28"/>
          <w:lang w:val="en-US" w:eastAsia="zh-CN"/>
        </w:rPr>
        <w:t>综合评分明细表</w:t>
      </w:r>
    </w:p>
    <w:tbl>
      <w:tblPr>
        <w:tblStyle w:val="21"/>
        <w:tblpPr w:leftFromText="180" w:rightFromText="180" w:vertAnchor="text" w:horzAnchor="page" w:tblpXSpec="center" w:tblpY="609"/>
        <w:tblOverlap w:val="never"/>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37"/>
        <w:gridCol w:w="820"/>
        <w:gridCol w:w="454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line="360" w:lineRule="auto"/>
              <w:jc w:val="center"/>
              <w:rPr>
                <w:rFonts w:hint="eastAsia" w:ascii="方正仿宋_GBK" w:hAnsi="方正仿宋_GBK" w:eastAsia="方正仿宋_GBK" w:cs="方正仿宋_GBK"/>
                <w:b w:val="0"/>
                <w:kern w:val="2"/>
                <w:sz w:val="21"/>
                <w:szCs w:val="21"/>
                <w:lang w:val="en-US" w:eastAsia="zh-CN" w:bidi="ar-SA"/>
              </w:rPr>
            </w:pPr>
            <w:bookmarkStart w:id="15" w:name="_Toc20834"/>
            <w:r>
              <w:rPr>
                <w:rFonts w:hint="eastAsia" w:ascii="方正仿宋_GBK" w:hAnsi="方正仿宋_GBK" w:eastAsia="方正仿宋_GBK" w:cs="方正仿宋_GBK"/>
                <w:b w:val="0"/>
                <w:kern w:val="2"/>
                <w:sz w:val="21"/>
                <w:szCs w:val="21"/>
                <w:lang w:val="en-US" w:eastAsia="zh-CN" w:bidi="ar-SA"/>
              </w:rPr>
              <w:t>序号</w:t>
            </w:r>
          </w:p>
        </w:tc>
        <w:tc>
          <w:tcPr>
            <w:tcW w:w="1137" w:type="dxa"/>
            <w:vAlign w:val="center"/>
          </w:tcPr>
          <w:p>
            <w:pPr>
              <w:spacing w:line="360" w:lineRule="auto"/>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评标项目</w:t>
            </w:r>
          </w:p>
        </w:tc>
        <w:tc>
          <w:tcPr>
            <w:tcW w:w="820" w:type="dxa"/>
            <w:vAlign w:val="center"/>
          </w:tcPr>
          <w:p>
            <w:pPr>
              <w:spacing w:line="360" w:lineRule="auto"/>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权重</w:t>
            </w:r>
          </w:p>
        </w:tc>
        <w:tc>
          <w:tcPr>
            <w:tcW w:w="4548" w:type="dxa"/>
            <w:vAlign w:val="center"/>
          </w:tcPr>
          <w:p>
            <w:pPr>
              <w:spacing w:line="360" w:lineRule="auto"/>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评分标准</w:t>
            </w:r>
          </w:p>
        </w:tc>
        <w:tc>
          <w:tcPr>
            <w:tcW w:w="1937" w:type="dxa"/>
            <w:vAlign w:val="center"/>
          </w:tcPr>
          <w:p>
            <w:pPr>
              <w:spacing w:line="360" w:lineRule="auto"/>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137" w:type="dxa"/>
            <w:vAlign w:val="center"/>
          </w:tcPr>
          <w:p>
            <w:pPr>
              <w:pStyle w:val="2"/>
              <w:spacing w:line="360" w:lineRule="auto"/>
              <w:ind w:left="0" w:leftChars="0" w:firstLine="0" w:firstLineChars="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报价28%</w:t>
            </w:r>
          </w:p>
        </w:tc>
        <w:tc>
          <w:tcPr>
            <w:tcW w:w="820" w:type="dxa"/>
            <w:vAlign w:val="center"/>
          </w:tcPr>
          <w:p>
            <w:pPr>
              <w:pStyle w:val="2"/>
              <w:spacing w:line="360" w:lineRule="auto"/>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28分</w:t>
            </w:r>
          </w:p>
        </w:tc>
        <w:tc>
          <w:tcPr>
            <w:tcW w:w="4548" w:type="dxa"/>
          </w:tcPr>
          <w:p>
            <w:pPr>
              <w:pStyle w:val="2"/>
              <w:adjustRightInd/>
              <w:snapToGrid/>
              <w:spacing w:line="360" w:lineRule="auto"/>
              <w:ind w:firstLine="0" w:firstLineChars="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sz w:val="21"/>
                <w:szCs w:val="21"/>
              </w:rPr>
              <w:t>以</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1-下浮率</w:t>
            </w:r>
            <w:r>
              <w:rPr>
                <w:rFonts w:hint="eastAsia" w:ascii="方正仿宋_GBK" w:hAnsi="方正仿宋_GBK" w:eastAsia="方正仿宋_GBK" w:cs="方正仿宋_GBK"/>
                <w:color w:val="auto"/>
                <w:sz w:val="21"/>
                <w:szCs w:val="21"/>
                <w:lang w:eastAsia="zh-CN"/>
              </w:rPr>
              <w:t>）后</w:t>
            </w:r>
            <w:r>
              <w:rPr>
                <w:rFonts w:hint="eastAsia" w:ascii="方正仿宋_GBK" w:hAnsi="方正仿宋_GBK" w:eastAsia="方正仿宋_GBK" w:cs="方正仿宋_GBK"/>
                <w:color w:val="auto"/>
                <w:sz w:val="21"/>
                <w:szCs w:val="21"/>
              </w:rPr>
              <w:t>最低</w:t>
            </w:r>
            <w:r>
              <w:rPr>
                <w:rFonts w:hint="eastAsia" w:ascii="方正仿宋_GBK" w:hAnsi="方正仿宋_GBK" w:eastAsia="方正仿宋_GBK" w:cs="方正仿宋_GBK"/>
                <w:color w:val="auto"/>
                <w:sz w:val="21"/>
                <w:szCs w:val="21"/>
                <w:lang w:eastAsia="zh-CN"/>
              </w:rPr>
              <w:t>的</w:t>
            </w:r>
            <w:r>
              <w:rPr>
                <w:rFonts w:hint="eastAsia" w:ascii="方正仿宋_GBK" w:hAnsi="方正仿宋_GBK" w:eastAsia="方正仿宋_GBK" w:cs="方正仿宋_GBK"/>
                <w:color w:val="auto"/>
                <w:sz w:val="21"/>
                <w:szCs w:val="21"/>
              </w:rPr>
              <w:t>报价为基准价，投标报价得分=(评标基准价／</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1-投标下浮率</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28</w:t>
            </w:r>
            <w:bookmarkStart w:id="35" w:name="_GoBack"/>
            <w:bookmarkEnd w:id="35"/>
            <w:r>
              <w:rPr>
                <w:rFonts w:hint="eastAsia" w:ascii="方正仿宋_GBK" w:hAnsi="方正仿宋_GBK" w:eastAsia="方正仿宋_GBK" w:cs="方正仿宋_GBK"/>
                <w:color w:val="auto"/>
                <w:sz w:val="21"/>
                <w:szCs w:val="21"/>
              </w:rPr>
              <w:t>%×100。</w:t>
            </w:r>
          </w:p>
        </w:tc>
        <w:tc>
          <w:tcPr>
            <w:tcW w:w="1937" w:type="dxa"/>
            <w:vAlign w:val="center"/>
          </w:tcPr>
          <w:p>
            <w:pPr>
              <w:pStyle w:val="2"/>
              <w:spacing w:line="360" w:lineRule="auto"/>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w:t>
            </w:r>
          </w:p>
        </w:tc>
        <w:tc>
          <w:tcPr>
            <w:tcW w:w="1137" w:type="dxa"/>
            <w:vAlign w:val="center"/>
          </w:tcPr>
          <w:p>
            <w:pPr>
              <w:pStyle w:val="2"/>
              <w:adjustRightInd/>
              <w:snapToGrid/>
              <w:spacing w:line="360" w:lineRule="auto"/>
              <w:ind w:firstLine="0" w:firstLineChars="0"/>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技术参数及质量要求响应36%</w:t>
            </w:r>
          </w:p>
        </w:tc>
        <w:tc>
          <w:tcPr>
            <w:tcW w:w="820" w:type="dxa"/>
            <w:vAlign w:val="center"/>
          </w:tcPr>
          <w:p>
            <w:pPr>
              <w:pStyle w:val="2"/>
              <w:adjustRightInd/>
              <w:snapToGrid/>
              <w:spacing w:line="360" w:lineRule="auto"/>
              <w:ind w:firstLine="0" w:firstLineChars="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36分</w:t>
            </w:r>
          </w:p>
        </w:tc>
        <w:tc>
          <w:tcPr>
            <w:tcW w:w="4548" w:type="dxa"/>
          </w:tcPr>
          <w:p>
            <w:pPr>
              <w:pStyle w:val="2"/>
              <w:adjustRightInd/>
              <w:snapToGrid/>
              <w:spacing w:line="360" w:lineRule="auto"/>
              <w:ind w:firstLine="0" w:firstLineChars="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1、文件中带▲的产品提供国家认可的检测机构出具的完整的检测报告复印件，每提供一个得2分，此项最多得22分，未提供或检测报告提供不完整的不得分。</w:t>
            </w:r>
          </w:p>
          <w:p>
            <w:pPr>
              <w:pStyle w:val="2"/>
              <w:adjustRightInd/>
              <w:snapToGrid/>
              <w:spacing w:line="360" w:lineRule="auto"/>
              <w:ind w:firstLine="0" w:firstLineChars="0"/>
              <w:jc w:val="left"/>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2、技术参数中（干杂类及调味品，共7条）全部满足的得14分，未满足的一项扣2分，扣完为止。</w:t>
            </w:r>
          </w:p>
        </w:tc>
        <w:tc>
          <w:tcPr>
            <w:tcW w:w="1937" w:type="dxa"/>
            <w:vAlign w:val="center"/>
          </w:tcPr>
          <w:p>
            <w:pPr>
              <w:pStyle w:val="2"/>
              <w:spacing w:line="360" w:lineRule="auto"/>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w:t>
            </w:r>
          </w:p>
        </w:tc>
        <w:tc>
          <w:tcPr>
            <w:tcW w:w="1137" w:type="dxa"/>
            <w:vAlign w:val="center"/>
          </w:tcPr>
          <w:p>
            <w:pPr>
              <w:pStyle w:val="2"/>
              <w:spacing w:line="360" w:lineRule="auto"/>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kern w:val="2"/>
                <w:sz w:val="21"/>
                <w:szCs w:val="21"/>
                <w:lang w:val="en-US" w:eastAsia="zh-CN" w:bidi="ar-SA"/>
              </w:rPr>
              <w:t>供货保障6%</w:t>
            </w:r>
          </w:p>
        </w:tc>
        <w:tc>
          <w:tcPr>
            <w:tcW w:w="820"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6分</w:t>
            </w:r>
          </w:p>
        </w:tc>
        <w:tc>
          <w:tcPr>
            <w:tcW w:w="4548" w:type="dxa"/>
          </w:tcPr>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1、供应商有产品定点采购，可为供货提供更多保障的得6分；</w:t>
            </w:r>
          </w:p>
          <w:p>
            <w:pPr>
              <w:pStyle w:val="2"/>
              <w:adjustRightInd/>
              <w:snapToGrid/>
              <w:spacing w:line="360" w:lineRule="auto"/>
              <w:ind w:firstLine="0" w:firstLineChars="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kern w:val="2"/>
                <w:sz w:val="21"/>
                <w:szCs w:val="21"/>
                <w:lang w:val="en-US" w:eastAsia="zh-CN" w:bidi="ar-SA"/>
              </w:rPr>
              <w:t>2、供应商无产品定点采购，但有签订长期供货合同的得3分。</w:t>
            </w:r>
          </w:p>
        </w:tc>
        <w:tc>
          <w:tcPr>
            <w:tcW w:w="1937"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共同评分因素</w:t>
            </w:r>
          </w:p>
          <w:p>
            <w:pPr>
              <w:pStyle w:val="2"/>
              <w:spacing w:line="360" w:lineRule="auto"/>
              <w:ind w:left="0" w:leftChars="0" w:firstLine="0" w:firstLineChars="0"/>
              <w:jc w:val="center"/>
              <w:rPr>
                <w:rFonts w:hint="eastAsia"/>
                <w:lang w:val="en-US" w:eastAsia="zh-CN"/>
              </w:rPr>
            </w:pPr>
            <w:r>
              <w:rPr>
                <w:rFonts w:hint="eastAsia" w:ascii="方正仿宋_GBK" w:hAnsi="方正仿宋_GBK" w:eastAsia="方正仿宋_GBK" w:cs="方正仿宋_GBK"/>
                <w:kern w:val="2"/>
                <w:sz w:val="21"/>
                <w:szCs w:val="21"/>
                <w:vertAlign w:val="baseline"/>
                <w:lang w:val="en-US" w:eastAsia="zh-CN" w:bidi="ar-SA"/>
              </w:rPr>
              <w:t>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4</w:t>
            </w:r>
          </w:p>
        </w:tc>
        <w:tc>
          <w:tcPr>
            <w:tcW w:w="1137" w:type="dxa"/>
            <w:vAlign w:val="center"/>
          </w:tcPr>
          <w:p>
            <w:pPr>
              <w:pStyle w:val="2"/>
              <w:spacing w:line="360" w:lineRule="auto"/>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kern w:val="2"/>
                <w:sz w:val="21"/>
                <w:szCs w:val="21"/>
                <w:lang w:val="zh-CN" w:eastAsia="zh-CN" w:bidi="ar-SA"/>
              </w:rPr>
              <w:t>履约能力</w:t>
            </w:r>
            <w:r>
              <w:rPr>
                <w:rFonts w:hint="eastAsia" w:ascii="方正仿宋_GBK" w:hAnsi="方正仿宋_GBK" w:eastAsia="方正仿宋_GBK" w:cs="方正仿宋_GBK"/>
                <w:color w:val="auto"/>
                <w:kern w:val="2"/>
                <w:sz w:val="21"/>
                <w:szCs w:val="21"/>
                <w:lang w:val="en-US" w:eastAsia="zh-CN" w:bidi="ar-SA"/>
              </w:rPr>
              <w:t>8%</w:t>
            </w:r>
          </w:p>
        </w:tc>
        <w:tc>
          <w:tcPr>
            <w:tcW w:w="820"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8分</w:t>
            </w:r>
          </w:p>
        </w:tc>
        <w:tc>
          <w:tcPr>
            <w:tcW w:w="4548" w:type="dxa"/>
          </w:tcPr>
          <w:p>
            <w:pPr>
              <w:pStyle w:val="2"/>
              <w:adjustRightInd/>
              <w:snapToGrid/>
              <w:spacing w:line="360" w:lineRule="auto"/>
              <w:ind w:firstLine="0" w:firstLineChars="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kern w:val="2"/>
                <w:sz w:val="21"/>
                <w:szCs w:val="21"/>
                <w:lang w:val="en-US" w:eastAsia="zh-CN" w:bidi="ar-SA"/>
              </w:rPr>
              <w:t>供应商提供2019年至今类似项目经验：每提供一个得2分，最多得8分。未提供不得分；</w:t>
            </w:r>
          </w:p>
        </w:tc>
        <w:tc>
          <w:tcPr>
            <w:tcW w:w="1937" w:type="dxa"/>
            <w:vAlign w:val="center"/>
          </w:tcPr>
          <w:p>
            <w:pPr>
              <w:pStyle w:val="2"/>
              <w:adjustRightInd/>
              <w:snapToGrid/>
              <w:spacing w:line="360" w:lineRule="auto"/>
              <w:ind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共同评分因素</w:t>
            </w:r>
          </w:p>
          <w:p>
            <w:pPr>
              <w:pStyle w:val="2"/>
              <w:spacing w:line="360" w:lineRule="auto"/>
              <w:ind w:left="0" w:leftChars="0" w:firstLine="0" w:firstLineChars="0"/>
              <w:jc w:val="center"/>
              <w:rPr>
                <w:rFonts w:hint="default"/>
                <w:lang w:val="en-US" w:eastAsia="zh-CN"/>
              </w:rPr>
            </w:pPr>
            <w:r>
              <w:rPr>
                <w:rFonts w:hint="eastAsia" w:ascii="方正仿宋_GBK" w:hAnsi="方正仿宋_GBK" w:eastAsia="方正仿宋_GBK" w:cs="方正仿宋_GBK"/>
                <w:color w:val="auto"/>
                <w:kern w:val="2"/>
                <w:sz w:val="21"/>
                <w:szCs w:val="21"/>
                <w:lang w:val="en-US" w:eastAsia="zh-CN" w:bidi="ar-SA"/>
              </w:rPr>
              <w:t>提供中标（成交）通知书或供货合同（协议）复印件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5</w:t>
            </w:r>
          </w:p>
        </w:tc>
        <w:tc>
          <w:tcPr>
            <w:tcW w:w="1137"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kern w:val="2"/>
                <w:sz w:val="21"/>
                <w:szCs w:val="21"/>
                <w:lang w:val="zh-CN" w:eastAsia="zh-CN" w:bidi="ar-SA"/>
              </w:rPr>
              <w:t>食品安全责任保险</w:t>
            </w:r>
            <w:r>
              <w:rPr>
                <w:rFonts w:hint="eastAsia" w:ascii="方正仿宋_GBK" w:hAnsi="方正仿宋_GBK" w:eastAsia="方正仿宋_GBK" w:cs="方正仿宋_GBK"/>
                <w:color w:val="auto"/>
                <w:kern w:val="2"/>
                <w:sz w:val="21"/>
                <w:szCs w:val="21"/>
                <w:lang w:val="en-US" w:eastAsia="zh-CN" w:bidi="ar-SA"/>
              </w:rPr>
              <w:t>4%</w:t>
            </w:r>
          </w:p>
        </w:tc>
        <w:tc>
          <w:tcPr>
            <w:tcW w:w="820"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zh-CN" w:eastAsia="zh-CN" w:bidi="ar-SA"/>
              </w:rPr>
              <w:t>4分</w:t>
            </w:r>
          </w:p>
        </w:tc>
        <w:tc>
          <w:tcPr>
            <w:tcW w:w="4548" w:type="dxa"/>
            <w:vAlign w:val="top"/>
          </w:tcPr>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供应商购买食品安全责任保险保单：</w:t>
            </w:r>
          </w:p>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（1）300万&lt;已购买保险赔偿金额≤500万，得1分；</w:t>
            </w:r>
          </w:p>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（2）500万&lt;已购买保险赔偿金额≤800万，得2分；</w:t>
            </w:r>
          </w:p>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（3）800万&lt;已购买保险赔偿金额＜1000万，得3分；</w:t>
            </w:r>
          </w:p>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（4）购买保险赔偿金额≥1000万，得4分。</w:t>
            </w:r>
          </w:p>
          <w:p>
            <w:pPr>
              <w:pStyle w:val="2"/>
              <w:adjustRightInd/>
              <w:snapToGrid/>
              <w:spacing w:line="360" w:lineRule="auto"/>
              <w:ind w:firstLine="0" w:firstLineChars="0"/>
              <w:jc w:val="left"/>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kern w:val="2"/>
                <w:sz w:val="21"/>
                <w:szCs w:val="21"/>
                <w:lang w:val="en-US" w:eastAsia="zh-CN" w:bidi="ar-SA"/>
              </w:rPr>
              <w:t>注：提供相关证明材料，并加盖供应商鲜章</w:t>
            </w:r>
          </w:p>
        </w:tc>
        <w:tc>
          <w:tcPr>
            <w:tcW w:w="1937"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共同评分因素</w:t>
            </w:r>
          </w:p>
          <w:p>
            <w:pPr>
              <w:pStyle w:val="2"/>
              <w:spacing w:line="360" w:lineRule="auto"/>
              <w:ind w:left="0" w:leftChars="0" w:firstLine="0" w:firstLineChars="0"/>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kern w:val="2"/>
                <w:sz w:val="21"/>
                <w:szCs w:val="21"/>
                <w:vertAlign w:val="baseline"/>
                <w:lang w:val="en-US" w:eastAsia="zh-CN" w:bidi="ar-SA"/>
              </w:rPr>
              <w:t>提供保单复印件或承诺函原件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6</w:t>
            </w:r>
          </w:p>
        </w:tc>
        <w:tc>
          <w:tcPr>
            <w:tcW w:w="1137"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zh-CN" w:eastAsia="zh-CN" w:bidi="ar-SA"/>
              </w:rPr>
            </w:pPr>
            <w:r>
              <w:rPr>
                <w:rFonts w:hint="eastAsia" w:ascii="方正仿宋_GBK" w:hAnsi="方正仿宋_GBK" w:eastAsia="方正仿宋_GBK" w:cs="方正仿宋_GBK"/>
                <w:color w:val="auto"/>
                <w:kern w:val="2"/>
                <w:sz w:val="21"/>
                <w:szCs w:val="21"/>
                <w:lang w:val="zh-CN" w:eastAsia="zh-CN" w:bidi="ar-SA"/>
              </w:rPr>
              <w:t>服务方案</w:t>
            </w:r>
            <w:r>
              <w:rPr>
                <w:rFonts w:hint="eastAsia" w:ascii="方正仿宋_GBK" w:hAnsi="方正仿宋_GBK" w:eastAsia="方正仿宋_GBK" w:cs="方正仿宋_GBK"/>
                <w:color w:val="auto"/>
                <w:kern w:val="2"/>
                <w:sz w:val="21"/>
                <w:szCs w:val="21"/>
                <w:lang w:val="en-US" w:eastAsia="zh-CN" w:bidi="ar-SA"/>
              </w:rPr>
              <w:t>16</w:t>
            </w:r>
            <w:r>
              <w:rPr>
                <w:rFonts w:hint="eastAsia" w:ascii="方正仿宋_GBK" w:hAnsi="方正仿宋_GBK" w:eastAsia="方正仿宋_GBK" w:cs="方正仿宋_GBK"/>
                <w:color w:val="auto"/>
                <w:kern w:val="2"/>
                <w:sz w:val="21"/>
                <w:szCs w:val="21"/>
                <w:lang w:val="zh-CN" w:eastAsia="zh-CN" w:bidi="ar-SA"/>
              </w:rPr>
              <w:t>%</w:t>
            </w:r>
          </w:p>
        </w:tc>
        <w:tc>
          <w:tcPr>
            <w:tcW w:w="820" w:type="dxa"/>
            <w:vAlign w:val="center"/>
          </w:tcPr>
          <w:p>
            <w:pPr>
              <w:pStyle w:val="2"/>
              <w:spacing w:line="360" w:lineRule="auto"/>
              <w:ind w:left="0" w:leftChars="0" w:firstLine="0"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16分</w:t>
            </w:r>
          </w:p>
        </w:tc>
        <w:tc>
          <w:tcPr>
            <w:tcW w:w="4548" w:type="dxa"/>
          </w:tcPr>
          <w:p>
            <w:pPr>
              <w:pStyle w:val="2"/>
              <w:adjustRightInd/>
              <w:snapToGrid/>
              <w:spacing w:line="360" w:lineRule="auto"/>
              <w:ind w:firstLine="0" w:firstLineChars="0"/>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zh-CN" w:eastAsia="zh-CN" w:bidi="ar-SA"/>
              </w:rPr>
              <w:t>服务方案内容应包含但不限于以下内容：①质量保证措施、②配送体系、③临时性食材需求供应方案、④食品安全措施、⑤出现恶劣天气时供应方案、⑥应急响应时间、⑦售后服务方案、⑧疫情防控等全部满足且符合项目需求的得</w:t>
            </w:r>
            <w:r>
              <w:rPr>
                <w:rFonts w:hint="eastAsia" w:ascii="方正仿宋_GBK" w:hAnsi="方正仿宋_GBK" w:eastAsia="方正仿宋_GBK" w:cs="方正仿宋_GBK"/>
                <w:color w:val="auto"/>
                <w:kern w:val="2"/>
                <w:sz w:val="21"/>
                <w:szCs w:val="21"/>
                <w:lang w:val="en-US" w:eastAsia="zh-CN" w:bidi="ar-SA"/>
              </w:rPr>
              <w:t>16</w:t>
            </w:r>
            <w:r>
              <w:rPr>
                <w:rFonts w:hint="eastAsia" w:ascii="方正仿宋_GBK" w:hAnsi="方正仿宋_GBK" w:eastAsia="方正仿宋_GBK" w:cs="方正仿宋_GBK"/>
                <w:color w:val="auto"/>
                <w:kern w:val="2"/>
                <w:sz w:val="21"/>
                <w:szCs w:val="21"/>
                <w:lang w:val="zh-CN" w:eastAsia="zh-CN" w:bidi="ar-SA"/>
              </w:rPr>
              <w:t>分，每有一项欠缺或表述不完整的扣</w:t>
            </w:r>
            <w:r>
              <w:rPr>
                <w:rFonts w:hint="eastAsia" w:ascii="方正仿宋_GBK" w:hAnsi="方正仿宋_GBK" w:eastAsia="方正仿宋_GBK" w:cs="方正仿宋_GBK"/>
                <w:color w:val="auto"/>
                <w:kern w:val="2"/>
                <w:sz w:val="21"/>
                <w:szCs w:val="21"/>
                <w:lang w:val="en-US" w:eastAsia="zh-CN" w:bidi="ar-SA"/>
              </w:rPr>
              <w:t>2</w:t>
            </w:r>
            <w:r>
              <w:rPr>
                <w:rFonts w:hint="eastAsia" w:ascii="方正仿宋_GBK" w:hAnsi="方正仿宋_GBK" w:eastAsia="方正仿宋_GBK" w:cs="方正仿宋_GBK"/>
                <w:color w:val="auto"/>
                <w:kern w:val="2"/>
                <w:sz w:val="21"/>
                <w:szCs w:val="21"/>
                <w:lang w:val="zh-CN" w:eastAsia="zh-CN" w:bidi="ar-SA"/>
              </w:rPr>
              <w:t>分，扣完为止。</w:t>
            </w:r>
          </w:p>
        </w:tc>
        <w:tc>
          <w:tcPr>
            <w:tcW w:w="1937" w:type="dxa"/>
            <w:vAlign w:val="center"/>
          </w:tcPr>
          <w:p>
            <w:pPr>
              <w:pStyle w:val="2"/>
              <w:spacing w:line="360" w:lineRule="auto"/>
              <w:ind w:left="0" w:leftChars="0" w:firstLine="0" w:firstLineChars="0"/>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pStyle w:val="2"/>
              <w:spacing w:line="360" w:lineRule="auto"/>
              <w:ind w:left="0" w:leftChars="0" w:firstLine="210" w:firstLineChars="100"/>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7</w:t>
            </w:r>
          </w:p>
        </w:tc>
        <w:tc>
          <w:tcPr>
            <w:tcW w:w="1137" w:type="dxa"/>
            <w:vAlign w:val="center"/>
          </w:tcPr>
          <w:p>
            <w:pPr>
              <w:spacing w:line="360" w:lineRule="auto"/>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sz w:val="21"/>
                <w:szCs w:val="21"/>
              </w:rPr>
              <w:t>购买精准扶贫农产品</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w:t>
            </w:r>
          </w:p>
        </w:tc>
        <w:tc>
          <w:tcPr>
            <w:tcW w:w="820" w:type="dxa"/>
            <w:vAlign w:val="center"/>
          </w:tcPr>
          <w:p>
            <w:pPr>
              <w:spacing w:line="360" w:lineRule="auto"/>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分</w:t>
            </w:r>
          </w:p>
        </w:tc>
        <w:tc>
          <w:tcPr>
            <w:tcW w:w="4548" w:type="dxa"/>
            <w:vAlign w:val="center"/>
          </w:tcPr>
          <w:p>
            <w:pPr>
              <w:spacing w:line="360" w:lineRule="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sz w:val="21"/>
                <w:szCs w:val="21"/>
              </w:rPr>
              <w:t>投标</w:t>
            </w:r>
            <w:r>
              <w:rPr>
                <w:rFonts w:hint="eastAsia" w:ascii="方正仿宋_GBK" w:hAnsi="方正仿宋_GBK" w:eastAsia="方正仿宋_GBK" w:cs="方正仿宋_GBK"/>
                <w:color w:val="auto"/>
                <w:kern w:val="2"/>
                <w:sz w:val="21"/>
                <w:szCs w:val="21"/>
                <w:lang w:val="en-US" w:eastAsia="zh-CN" w:bidi="ar-SA"/>
              </w:rPr>
              <w:t>人供应的货物中有来自于建档立卡贫困户或购买贫困地区、扶贫平台产品的得2分，未提供证明材料不得分。</w:t>
            </w:r>
          </w:p>
        </w:tc>
        <w:tc>
          <w:tcPr>
            <w:tcW w:w="1937" w:type="dxa"/>
            <w:vAlign w:val="center"/>
          </w:tcPr>
          <w:p>
            <w:pPr>
              <w:keepNext w:val="0"/>
              <w:keepLines w:val="0"/>
              <w:pageBreakBefore w:val="0"/>
              <w:kinsoku/>
              <w:wordWrap/>
              <w:overflowPunct/>
              <w:topLinePunct w:val="0"/>
              <w:autoSpaceDE/>
              <w:autoSpaceDN/>
              <w:bidi w:val="0"/>
              <w:adjustRightInd/>
              <w:snapToGrid/>
              <w:spacing w:line="336" w:lineRule="auto"/>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共同评分因素</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auto"/>
                <w:sz w:val="21"/>
                <w:szCs w:val="21"/>
                <w:lang w:eastAsia="zh-CN"/>
              </w:rPr>
              <w:t>投标人须</w:t>
            </w:r>
            <w:r>
              <w:rPr>
                <w:rFonts w:hint="eastAsia" w:ascii="方正仿宋_GBK" w:hAnsi="方正仿宋_GBK" w:eastAsia="方正仿宋_GBK" w:cs="方正仿宋_GBK"/>
                <w:color w:val="auto"/>
                <w:sz w:val="21"/>
                <w:szCs w:val="21"/>
              </w:rPr>
              <w:t>在响应文件中提供证明材料</w:t>
            </w:r>
            <w:r>
              <w:rPr>
                <w:rFonts w:hint="eastAsia" w:ascii="方正仿宋_GBK" w:hAnsi="方正仿宋_GBK" w:eastAsia="方正仿宋_GBK" w:cs="方正仿宋_GBK"/>
                <w:color w:val="auto"/>
                <w:sz w:val="21"/>
                <w:szCs w:val="21"/>
                <w:lang w:eastAsia="zh-CN"/>
              </w:rPr>
              <w:t>复印件</w:t>
            </w:r>
          </w:p>
        </w:tc>
      </w:tr>
    </w:tbl>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eastAsia="zh-CN"/>
        </w:rPr>
        <w:t>（十五）中小企业政策</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sym w:font="Wingdings" w:char="00FE"/>
      </w:r>
      <w:r>
        <w:rPr>
          <w:rFonts w:hint="eastAsia" w:ascii="方正仿宋_GBK" w:hAnsi="方正仿宋_GBK" w:eastAsia="方正仿宋_GBK" w:cs="方正仿宋_GBK"/>
          <w:b/>
          <w:bCs/>
          <w:sz w:val="28"/>
          <w:szCs w:val="28"/>
          <w:lang w:val="zh-CN"/>
        </w:rPr>
        <w:t>本项目属于专门面向中小企业采购的政府采购项目，小微企业不再享受价格评审优惠。</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zh-CN"/>
        </w:rPr>
        <w:sym w:font="Wingdings" w:char="00A8"/>
      </w:r>
      <w:r>
        <w:rPr>
          <w:rFonts w:hint="eastAsia" w:ascii="方正仿宋_GBK" w:hAnsi="方正仿宋_GBK" w:eastAsia="方正仿宋_GBK" w:cs="方正仿宋_GBK"/>
          <w:b/>
          <w:bCs/>
          <w:sz w:val="28"/>
          <w:szCs w:val="28"/>
          <w:lang w:val="zh-CN"/>
        </w:rPr>
        <w:t>本项目非面向中小企业采购的政府采购项目，小微企业享受以下价格评审优惠：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1、小微企业（监狱企业、残疾人福利单位视同小微企业）价格扣除</w:t>
      </w:r>
    </w:p>
    <w:p>
      <w:pPr>
        <w:spacing w:line="600" w:lineRule="exact"/>
        <w:ind w:firstLine="560" w:firstLineChars="200"/>
        <w:rPr>
          <w:rFonts w:ascii="方正仿宋_GBK" w:hAnsi="方正仿宋_GBK" w:eastAsia="方正仿宋_GBK" w:cs="方正仿宋_GBK"/>
          <w:sz w:val="28"/>
          <w:szCs w:val="28"/>
        </w:rPr>
      </w:pPr>
      <w:bookmarkStart w:id="16" w:name="bookmark36"/>
      <w:bookmarkEnd w:id="16"/>
      <w:r>
        <w:rPr>
          <w:rFonts w:hint="eastAsia" w:ascii="方正仿宋_GBK" w:hAnsi="方正仿宋_GBK" w:eastAsia="方正仿宋_GBK" w:cs="方正仿宋_GBK"/>
          <w:sz w:val="28"/>
          <w:szCs w:val="28"/>
        </w:rPr>
        <w:t>（1）根据《政府采购促进中小企业发展暂行办法》（财库［2020］46号）的规定，对小型和微型企业产品的价格给予10%的价格扣除，用扣除后的价格参与评审，符合中小企业划分标准的个体工商户，在政府采购活动中视同中小企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本条仅适用于允许联合体参与的项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联合体各方均为小型、微型企业的，联合体视同为小型、微型企业享受规定的扶持政策。组成联合体的大中型企业和其他自然人、法人或者其他组织，与小型、微型企业之间不得存在投资关系。（本条仅适用于允许联合体参与的项目）</w:t>
      </w:r>
    </w:p>
    <w:p>
      <w:pPr>
        <w:spacing w:line="600" w:lineRule="exact"/>
        <w:ind w:firstLine="560" w:firstLineChars="200"/>
        <w:rPr>
          <w:rFonts w:ascii="方正仿宋_GBK" w:hAnsi="方正仿宋_GBK" w:eastAsia="方正仿宋_GBK" w:cs="方正仿宋_GBK"/>
          <w:sz w:val="28"/>
          <w:szCs w:val="28"/>
        </w:rPr>
      </w:pPr>
      <w:bookmarkStart w:id="17" w:name="bookmark38"/>
      <w:bookmarkEnd w:id="17"/>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十六</w:t>
      </w:r>
      <w:r>
        <w:rPr>
          <w:rFonts w:hint="eastAsia" w:ascii="方正仿宋_GBK" w:hAnsi="方正仿宋_GBK" w:eastAsia="方正仿宋_GBK" w:cs="方正仿宋_GBK"/>
          <w:sz w:val="28"/>
          <w:szCs w:val="28"/>
        </w:rPr>
        <w:t>）不发达地区和少数民族地区扶持政策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第九条的相关规定，在报价相同时，成交候选供应商并列的情况下，优先确定注册地为不发达地区、少数民族地区的供应商为成交供应商。供应商须在响应文件提供相关证明材料，否则不享受本扶持政策。</w:t>
      </w:r>
    </w:p>
    <w:p>
      <w:pPr>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十七</w:t>
      </w:r>
      <w:r>
        <w:rPr>
          <w:rFonts w:hint="eastAsia" w:ascii="方正仿宋_GBK" w:hAnsi="方正仿宋_GBK" w:eastAsia="方正仿宋_GBK" w:cs="方正仿宋_GBK"/>
          <w:color w:val="auto"/>
          <w:sz w:val="28"/>
          <w:szCs w:val="28"/>
        </w:rPr>
        <w:t>）失信企业报价加成或者扣分</w:t>
      </w:r>
    </w:p>
    <w:p>
      <w:pPr>
        <w:spacing w:line="600" w:lineRule="exact"/>
        <w:ind w:firstLine="560" w:firstLineChars="200"/>
        <w:rPr>
          <w:rFonts w:ascii="方正仿宋_GBK" w:hAnsi="方正仿宋_GBK" w:eastAsia="方正仿宋_GBK" w:cs="方正仿宋_GBK"/>
          <w:color w:val="auto"/>
          <w:sz w:val="28"/>
          <w:szCs w:val="28"/>
        </w:rPr>
      </w:pPr>
      <w:bookmarkStart w:id="18" w:name="bookmark40"/>
      <w:bookmarkEnd w:id="18"/>
      <w:r>
        <w:rPr>
          <w:rFonts w:hint="eastAsia" w:ascii="方正仿宋_GBK" w:hAnsi="方正仿宋_GBK" w:eastAsia="方正仿宋_GBK" w:cs="方正仿宋_GBK"/>
          <w:color w:val="auto"/>
          <w:sz w:val="28"/>
          <w:szCs w:val="28"/>
        </w:rPr>
        <w:t>（1）对记入诚信档案且在有效期内的失信供应商，</w:t>
      </w:r>
      <w:r>
        <w:rPr>
          <w:rFonts w:hint="eastAsia" w:ascii="方正仿宋_GBK" w:hAnsi="方正仿宋_GBK" w:eastAsia="方正仿宋_GBK" w:cs="方正仿宋_GBK"/>
          <w:color w:val="auto"/>
          <w:sz w:val="28"/>
          <w:szCs w:val="28"/>
          <w:lang w:eastAsia="zh-CN"/>
        </w:rPr>
        <w:t>按</w:t>
      </w:r>
      <w:r>
        <w:rPr>
          <w:rFonts w:hint="eastAsia" w:ascii="方正仿宋_GBK" w:hAnsi="方正仿宋_GBK" w:eastAsia="方正仿宋_GBK" w:cs="方正仿宋_GBK"/>
          <w:color w:val="auto"/>
          <w:sz w:val="28"/>
          <w:szCs w:val="28"/>
          <w:lang w:val="en-US" w:eastAsia="zh-CN"/>
        </w:rPr>
        <w:t>综合评分明细表进行扣分</w:t>
      </w:r>
      <w:r>
        <w:rPr>
          <w:rFonts w:hint="eastAsia" w:ascii="方正仿宋_GBK" w:hAnsi="方正仿宋_GBK" w:eastAsia="方正仿宋_GBK" w:cs="方正仿宋_GBK"/>
          <w:color w:val="auto"/>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（2）供应商参加政府采购活动时，应当就自己的诚信情况在响应文件中进行承诺。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十八</w:t>
      </w:r>
      <w:r>
        <w:rPr>
          <w:rFonts w:hint="eastAsia" w:ascii="方正仿宋_GBK" w:hAnsi="方正仿宋_GBK" w:eastAsia="方正仿宋_GBK" w:cs="方正仿宋_GBK"/>
          <w:sz w:val="28"/>
          <w:szCs w:val="28"/>
        </w:rPr>
        <w:t xml:space="preserve">）环保节能产品、无线局域网认证产品政策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1、按照《财政部发展改革委生态环境部市场监管总局关于调整优化节能产品、环境标志产品政府采购执行机制的通知》（财库〔2019〕 9号）文件规定执行。依据品目清单和认证证书实施政府优先采购和强制采购。</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拟采购的产品属于《环境标志产品政府采购品目清单》（财库〔2019〕18号）和《节能产品政府采购品目清单》（财库〔2019〕19号）清单范围的，采购人及其委托的采购代理机构应当依据市场监管总局发布的《市场监管总局关于发布参与实施政府采购节能产品、环境标志产品认证机构名录的公告》（2019年第16号）名单内的认证机构出具的处于有效期之内的节能产品、环境标志产品认证证书，对获得证书的产品实施政府优先采购或强制采购。</w:t>
      </w:r>
    </w:p>
    <w:p>
      <w:pPr>
        <w:spacing w:line="600" w:lineRule="exact"/>
        <w:ind w:firstLine="560" w:firstLineChars="200"/>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（1）采购产品属于强制采购品目的，应当采购品目内的产品。</w:t>
      </w:r>
    </w:p>
    <w:p>
      <w:pPr>
        <w:spacing w:line="600" w:lineRule="exact"/>
        <w:ind w:firstLine="560" w:firstLineChars="200"/>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（2）本项目采购的产品属于中国政府采购网公布的《无线局域网认证产品政府采购清单》的，综合评分得分相同的条件下优先采购。</w:t>
      </w:r>
    </w:p>
    <w:p>
      <w:pPr>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eastAsia="zh-CN"/>
        </w:rPr>
        <w:t>）采购人拟采购的节能环保产品属于优先采购品目的，按《综合评分明细表》进行加分，供应商在响应文件中提供该产品政府采购清单对应页并加盖供应商单位公章。</w:t>
      </w:r>
    </w:p>
    <w:p>
      <w:pPr>
        <w:spacing w:line="360" w:lineRule="auto"/>
        <w:ind w:firstLine="562" w:firstLineChars="200"/>
        <w:rPr>
          <w:rFonts w:hint="eastAsia" w:ascii="方正仿宋_GBK" w:hAnsi="方正仿宋_GBK" w:eastAsia="方正仿宋_GBK" w:cs="方正仿宋_GBK"/>
          <w:kern w:val="0"/>
          <w:sz w:val="24"/>
          <w:szCs w:val="24"/>
          <w:lang w:val="zh-CN" w:eastAsia="zh-CN" w:bidi="ar-SA"/>
        </w:rPr>
      </w:pPr>
      <w:r>
        <w:rPr>
          <w:rFonts w:hint="eastAsia" w:ascii="方正仿宋_GBK" w:hAnsi="方正仿宋_GBK" w:eastAsia="方正仿宋_GBK" w:cs="方正仿宋_GBK"/>
          <w:b/>
          <w:bCs/>
          <w:sz w:val="28"/>
          <w:szCs w:val="28"/>
        </w:rPr>
        <w:t>注：以中国政府采购网（www.ccgp.gov.cn）信息查询结果为准。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十九</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zh-CN"/>
        </w:rPr>
        <w:t>为助力解决中小企业、民营企业融资难、融资贵的问题</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符合我省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办理条件的中标人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可按照规定基于政府采购合同按优惠贷款利率办理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办理渠道见四川省政采贷信息服务平台</w:t>
      </w:r>
      <w:r>
        <w:rPr>
          <w:rFonts w:hint="eastAsia" w:ascii="方正仿宋_GBK" w:hAnsi="方正仿宋_GBK" w:eastAsia="方正仿宋_GBK" w:cs="方正仿宋_GBK"/>
          <w:sz w:val="28"/>
          <w:szCs w:val="28"/>
        </w:rPr>
        <w:t>（http://202.61.88.41:9009/static/login/login.html）</w:t>
      </w:r>
      <w:r>
        <w:rPr>
          <w:rFonts w:hint="eastAsia" w:ascii="方正仿宋_GBK" w:hAnsi="方正仿宋_GBK" w:eastAsia="方正仿宋_GBK" w:cs="方正仿宋_GBK"/>
          <w:sz w:val="28"/>
          <w:szCs w:val="28"/>
          <w:lang w:eastAsia="zh-CN"/>
        </w:rPr>
        <w:t>。</w:t>
      </w:r>
    </w:p>
    <w:p>
      <w:pPr>
        <w:pStyle w:val="3"/>
        <w:rPr>
          <w:rFonts w:ascii="方正仿宋_GBK" w:hAnsi="方正仿宋_GBK"/>
          <w:sz w:val="28"/>
          <w:szCs w:val="28"/>
        </w:rPr>
      </w:pPr>
      <w:r>
        <w:rPr>
          <w:rFonts w:hint="eastAsia" w:ascii="方正仿宋_GBK" w:hAnsi="方正仿宋_GBK"/>
          <w:sz w:val="28"/>
          <w:szCs w:val="28"/>
          <w:lang w:eastAsia="zh-CN"/>
        </w:rPr>
        <w:t>九</w:t>
      </w:r>
      <w:r>
        <w:rPr>
          <w:rFonts w:hint="eastAsia" w:ascii="方正仿宋_GBK" w:hAnsi="方正仿宋_GBK"/>
          <w:sz w:val="28"/>
          <w:szCs w:val="28"/>
        </w:rPr>
        <w:t>、文件获取方式、时间、地点</w:t>
      </w:r>
      <w:bookmarkEnd w:id="15"/>
    </w:p>
    <w:p>
      <w:pPr>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采购文件文件自</w:t>
      </w:r>
      <w:r>
        <w:rPr>
          <w:rFonts w:hint="eastAsia" w:ascii="方正仿宋_GBK" w:hAnsi="方正仿宋_GBK" w:eastAsia="方正仿宋_GBK" w:cs="方正仿宋_GBK"/>
          <w:color w:val="auto"/>
          <w:sz w:val="28"/>
          <w:szCs w:val="28"/>
          <w:lang w:eastAsia="zh-CN"/>
        </w:rPr>
        <w:t>2022年</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eastAsia="zh-CN"/>
        </w:rPr>
        <w:t>月</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日至</w:t>
      </w:r>
      <w:r>
        <w:rPr>
          <w:rFonts w:hint="eastAsia" w:ascii="方正仿宋_GBK" w:hAnsi="方正仿宋_GBK" w:eastAsia="方正仿宋_GBK" w:cs="方正仿宋_GBK"/>
          <w:color w:val="auto"/>
          <w:sz w:val="28"/>
          <w:szCs w:val="28"/>
          <w:lang w:eastAsia="zh-CN"/>
        </w:rPr>
        <w:t>2022年</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eastAsia="zh-CN"/>
        </w:rPr>
        <w:t>月</w:t>
      </w:r>
      <w:r>
        <w:rPr>
          <w:rFonts w:hint="eastAsia" w:ascii="方正仿宋_GBK" w:hAnsi="方正仿宋_GBK" w:eastAsia="方正仿宋_GBK" w:cs="方正仿宋_GBK"/>
          <w:color w:val="auto"/>
          <w:sz w:val="28"/>
          <w:szCs w:val="28"/>
          <w:u w:val="single"/>
          <w:lang w:val="en-US" w:eastAsia="zh-CN"/>
        </w:rPr>
        <w:t>16</w:t>
      </w:r>
      <w:r>
        <w:rPr>
          <w:rFonts w:hint="eastAsia" w:ascii="方正仿宋_GBK" w:hAnsi="方正仿宋_GBK" w:eastAsia="方正仿宋_GBK" w:cs="方正仿宋_GBK"/>
          <w:color w:val="auto"/>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color w:val="auto"/>
          <w:kern w:val="0"/>
          <w:sz w:val="28"/>
          <w:szCs w:val="28"/>
        </w:rPr>
        <w:t>现场获取</w:t>
      </w:r>
      <w:r>
        <w:rPr>
          <w:rFonts w:hint="eastAsia" w:ascii="方正仿宋_GBK" w:hAnsi="方正仿宋_GBK" w:eastAsia="方正仿宋_GBK" w:cs="方正仿宋_GBK"/>
          <w:color w:val="auto"/>
          <w:sz w:val="28"/>
          <w:szCs w:val="28"/>
        </w:rPr>
        <w:t>。</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w:t>
      </w:r>
    </w:p>
    <w:p>
      <w:pPr>
        <w:spacing w:line="360" w:lineRule="auto"/>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采购文件售价：</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00元/</w:t>
      </w:r>
      <w:r>
        <w:rPr>
          <w:rFonts w:hint="eastAsia" w:ascii="方正仿宋_GBK" w:hAnsi="方正仿宋_GBK" w:eastAsia="方正仿宋_GBK" w:cs="方正仿宋_GBK"/>
          <w:color w:val="auto"/>
          <w:kern w:val="0"/>
          <w:sz w:val="28"/>
          <w:szCs w:val="28"/>
          <w:lang w:eastAsia="zh-CN"/>
        </w:rPr>
        <w:t>包</w:t>
      </w:r>
      <w:r>
        <w:rPr>
          <w:rFonts w:hint="eastAsia" w:ascii="方正仿宋_GBK" w:hAnsi="方正仿宋_GBK" w:eastAsia="方正仿宋_GBK" w:cs="方正仿宋_GBK"/>
          <w:color w:val="000000"/>
          <w:kern w:val="0"/>
          <w:sz w:val="28"/>
          <w:szCs w:val="28"/>
        </w:rPr>
        <w:t>（采购文件售后不退，</w:t>
      </w:r>
      <w:r>
        <w:rPr>
          <w:rFonts w:hint="eastAsia" w:ascii="方正仿宋_GBK" w:hAnsi="方正仿宋_GBK" w:eastAsia="方正仿宋_GBK" w:cs="方正仿宋_GBK"/>
          <w:color w:val="000000"/>
          <w:kern w:val="0"/>
          <w:sz w:val="28"/>
          <w:szCs w:val="28"/>
          <w:lang w:eastAsia="zh-CN"/>
        </w:rPr>
        <w:t>磋商</w:t>
      </w:r>
      <w:r>
        <w:rPr>
          <w:rFonts w:hint="eastAsia" w:ascii="方正仿宋_GBK" w:hAnsi="方正仿宋_GBK" w:eastAsia="方正仿宋_GBK" w:cs="方正仿宋_GBK"/>
          <w:color w:val="000000"/>
          <w:kern w:val="0"/>
          <w:sz w:val="28"/>
          <w:szCs w:val="28"/>
        </w:rPr>
        <w:t>资格不能转让</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b w:val="0"/>
          <w:bCs w:val="0"/>
          <w:sz w:val="28"/>
          <w:szCs w:val="28"/>
          <w:lang w:eastAsia="zh-CN"/>
        </w:rPr>
        <w:t>支付报名费时需备注项目编号及供应商名称</w:t>
      </w:r>
      <w:r>
        <w:rPr>
          <w:rFonts w:hint="eastAsia" w:ascii="方正仿宋_GBK" w:hAnsi="方正仿宋_GBK" w:eastAsia="方正仿宋_GBK" w:cs="方正仿宋_GBK"/>
          <w:color w:val="000000"/>
          <w:kern w:val="0"/>
          <w:sz w:val="28"/>
          <w:szCs w:val="28"/>
        </w:rPr>
        <w:t>）。</w:t>
      </w:r>
    </w:p>
    <w:p>
      <w:pPr>
        <w:spacing w:line="360" w:lineRule="auto"/>
        <w:ind w:firstLine="560" w:firstLineChars="200"/>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eastAsia="zh-CN"/>
        </w:rPr>
        <w:drawing>
          <wp:inline distT="0" distB="0" distL="114300" distR="114300">
            <wp:extent cx="2323465" cy="3189605"/>
            <wp:effectExtent l="0" t="0" r="635" b="10795"/>
            <wp:docPr id="57" name="图片 57" descr="2ac0f36540db39053815234993fe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2ac0f36540db39053815234993fe21f"/>
                    <pic:cNvPicPr>
                      <a:picLocks noChangeAspect="1"/>
                    </pic:cNvPicPr>
                  </pic:nvPicPr>
                  <pic:blipFill>
                    <a:blip r:embed="rId9"/>
                    <a:stretch>
                      <a:fillRect/>
                    </a:stretch>
                  </pic:blipFill>
                  <pic:spPr>
                    <a:xfrm>
                      <a:off x="0" y="0"/>
                      <a:ext cx="2323465" cy="3189605"/>
                    </a:xfrm>
                    <a:prstGeom prst="rect">
                      <a:avLst/>
                    </a:prstGeom>
                  </pic:spPr>
                </pic:pic>
              </a:graphicData>
            </a:graphic>
          </wp:inline>
        </w:drawing>
      </w:r>
    </w:p>
    <w:p>
      <w:pPr>
        <w:pStyle w:val="3"/>
        <w:rPr>
          <w:rFonts w:ascii="方正仿宋_GBK" w:hAnsi="方正仿宋_GBK"/>
          <w:sz w:val="28"/>
          <w:szCs w:val="28"/>
        </w:rPr>
      </w:pPr>
      <w:bookmarkStart w:id="19" w:name="_Toc27228"/>
      <w:r>
        <w:rPr>
          <w:rFonts w:hint="eastAsia" w:ascii="方正仿宋_GBK" w:hAnsi="方正仿宋_GBK"/>
          <w:sz w:val="28"/>
          <w:szCs w:val="28"/>
        </w:rPr>
        <w:t>十、递交响应文件截止时间</w:t>
      </w:r>
      <w:bookmarkEnd w:id="19"/>
    </w:p>
    <w:p>
      <w:pPr>
        <w:widowControl/>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lang w:eastAsia="zh-CN"/>
        </w:rPr>
        <w:t>2022年</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u w:val="single"/>
          <w:lang w:eastAsia="zh-CN"/>
        </w:rPr>
        <w:t>月</w:t>
      </w:r>
      <w:r>
        <w:rPr>
          <w:rFonts w:hint="eastAsia" w:ascii="方正仿宋_GBK" w:hAnsi="方正仿宋_GBK" w:eastAsia="方正仿宋_GBK" w:cs="方正仿宋_GBK"/>
          <w:color w:val="auto"/>
          <w:sz w:val="28"/>
          <w:szCs w:val="28"/>
          <w:u w:val="single"/>
          <w:lang w:val="en-US" w:eastAsia="zh-CN"/>
        </w:rPr>
        <w:t>20</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u w:val="single"/>
          <w:lang w:val="en-US" w:eastAsia="zh-CN"/>
        </w:rPr>
        <w:t>9:30</w:t>
      </w:r>
      <w:r>
        <w:rPr>
          <w:rFonts w:hint="eastAsia" w:ascii="方正仿宋_GBK" w:hAnsi="方正仿宋_GBK" w:eastAsia="方正仿宋_GBK" w:cs="方正仿宋_GBK"/>
          <w:color w:val="auto"/>
          <w:sz w:val="28"/>
          <w:szCs w:val="28"/>
        </w:rPr>
        <w:t>（北京时间）。</w:t>
      </w:r>
    </w:p>
    <w:p>
      <w:pPr>
        <w:pStyle w:val="3"/>
        <w:rPr>
          <w:rFonts w:ascii="方正仿宋_GBK" w:hAnsi="方正仿宋_GBK"/>
          <w:sz w:val="28"/>
          <w:szCs w:val="28"/>
        </w:rPr>
      </w:pPr>
      <w:bookmarkStart w:id="20" w:name="_Toc8080"/>
      <w:r>
        <w:rPr>
          <w:rFonts w:hint="eastAsia" w:ascii="方正仿宋_GBK" w:hAnsi="方正仿宋_GBK"/>
          <w:sz w:val="28"/>
          <w:szCs w:val="28"/>
        </w:rPr>
        <w:t>十</w:t>
      </w:r>
      <w:r>
        <w:rPr>
          <w:rFonts w:hint="eastAsia" w:ascii="方正仿宋_GBK" w:hAnsi="方正仿宋_GBK"/>
          <w:sz w:val="28"/>
          <w:szCs w:val="28"/>
          <w:lang w:eastAsia="zh-CN"/>
        </w:rPr>
        <w:t>一</w:t>
      </w:r>
      <w:r>
        <w:rPr>
          <w:rFonts w:hint="eastAsia" w:ascii="方正仿宋_GBK" w:hAnsi="方正仿宋_GBK"/>
          <w:sz w:val="28"/>
          <w:szCs w:val="28"/>
        </w:rPr>
        <w:t>、递交响应文件地点</w:t>
      </w:r>
      <w:bookmarkEnd w:id="20"/>
    </w:p>
    <w:p>
      <w:pPr>
        <w:widowControl/>
        <w:ind w:firstLine="560" w:firstLineChars="200"/>
        <w:rPr>
          <w:rFonts w:ascii="方正仿宋_GBK" w:hAnsi="方正仿宋_GBK" w:eastAsia="方正仿宋_GBK" w:cs="方正仿宋_GBK"/>
          <w:sz w:val="28"/>
          <w:szCs w:val="28"/>
        </w:rPr>
      </w:pPr>
      <w:bookmarkStart w:id="21"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21"/>
      <w:r>
        <w:rPr>
          <w:rFonts w:hint="eastAsia" w:ascii="方正仿宋_GBK" w:hAnsi="方正仿宋_GBK" w:eastAsia="方正仿宋_GBK" w:cs="方正仿宋_GBK"/>
          <w:sz w:val="28"/>
          <w:szCs w:val="28"/>
        </w:rPr>
        <w:t>。响应文件必须在递交</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响应文件截止时间前送达地点。逾期送达、密封和标注错误的响应文件，采购代理机构恕不接收。本次采购不可接收邮寄的响应文件</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文件递交时间：</w:t>
      </w:r>
      <w:r>
        <w:rPr>
          <w:rFonts w:hint="eastAsia" w:ascii="方正仿宋_GBK" w:hAnsi="方正仿宋_GBK" w:eastAsia="方正仿宋_GBK" w:cs="方正仿宋_GBK"/>
          <w:color w:val="auto"/>
          <w:sz w:val="28"/>
          <w:szCs w:val="28"/>
          <w:u w:val="single"/>
          <w:lang w:eastAsia="zh-CN"/>
        </w:rPr>
        <w:t>2022年</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u w:val="single"/>
          <w:lang w:eastAsia="zh-CN"/>
        </w:rPr>
        <w:t>月</w:t>
      </w:r>
      <w:r>
        <w:rPr>
          <w:rFonts w:hint="eastAsia" w:ascii="方正仿宋_GBK" w:hAnsi="方正仿宋_GBK" w:eastAsia="方正仿宋_GBK" w:cs="方正仿宋_GBK"/>
          <w:color w:val="auto"/>
          <w:sz w:val="28"/>
          <w:szCs w:val="28"/>
          <w:u w:val="single"/>
          <w:lang w:val="en-US" w:eastAsia="zh-CN"/>
        </w:rPr>
        <w:t>20</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u w:val="single"/>
          <w:lang w:val="en-US" w:eastAsia="zh-CN"/>
        </w:rPr>
        <w:t>09:00</w:t>
      </w:r>
      <w:r>
        <w:rPr>
          <w:rFonts w:hint="eastAsia" w:ascii="方正仿宋_GBK" w:hAnsi="方正仿宋_GBK" w:eastAsia="方正仿宋_GBK" w:cs="方正仿宋_GBK"/>
          <w:color w:val="auto"/>
          <w:sz w:val="28"/>
          <w:szCs w:val="28"/>
        </w:rPr>
        <w:t>至</w:t>
      </w:r>
      <w:r>
        <w:rPr>
          <w:rFonts w:hint="eastAsia" w:ascii="方正仿宋_GBK" w:hAnsi="方正仿宋_GBK" w:eastAsia="方正仿宋_GBK" w:cs="方正仿宋_GBK"/>
          <w:color w:val="auto"/>
          <w:sz w:val="28"/>
          <w:szCs w:val="28"/>
          <w:u w:val="single"/>
        </w:rPr>
        <w:t>202</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20</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09</w:t>
      </w:r>
      <w:r>
        <w:rPr>
          <w:rFonts w:hint="eastAsia" w:ascii="方正仿宋_GBK" w:hAnsi="方正仿宋_GBK" w:eastAsia="方正仿宋_GBK" w:cs="方正仿宋_GBK"/>
          <w:color w:val="auto"/>
          <w:sz w:val="28"/>
          <w:szCs w:val="28"/>
          <w:u w:val="single"/>
          <w:lang w:val="en-US" w:eastAsia="zh-CN"/>
        </w:rPr>
        <w:t>:30</w:t>
      </w:r>
      <w:r>
        <w:rPr>
          <w:rFonts w:hint="eastAsia" w:ascii="方正仿宋_GBK" w:hAnsi="方正仿宋_GBK" w:eastAsia="方正仿宋_GBK" w:cs="方正仿宋_GBK"/>
          <w:color w:val="auto"/>
          <w:sz w:val="28"/>
          <w:szCs w:val="28"/>
        </w:rPr>
        <w:t>（北京时间）。</w:t>
      </w:r>
    </w:p>
    <w:p>
      <w:pPr>
        <w:pStyle w:val="3"/>
        <w:rPr>
          <w:rFonts w:ascii="方正仿宋_GBK" w:hAnsi="方正仿宋_GBK"/>
          <w:sz w:val="28"/>
          <w:szCs w:val="28"/>
        </w:rPr>
      </w:pPr>
      <w:bookmarkStart w:id="22" w:name="_Toc32057"/>
      <w:bookmarkStart w:id="23" w:name="_Toc2651"/>
      <w:bookmarkStart w:id="24" w:name="_Toc5721"/>
      <w:r>
        <w:rPr>
          <w:rFonts w:hint="eastAsia" w:ascii="方正仿宋_GBK" w:hAnsi="方正仿宋_GBK"/>
          <w:sz w:val="28"/>
          <w:szCs w:val="28"/>
        </w:rPr>
        <w:t>十</w:t>
      </w:r>
      <w:r>
        <w:rPr>
          <w:rFonts w:hint="eastAsia" w:ascii="方正仿宋_GBK" w:hAnsi="方正仿宋_GBK"/>
          <w:sz w:val="28"/>
          <w:szCs w:val="28"/>
          <w:lang w:eastAsia="zh-CN"/>
        </w:rPr>
        <w:t>二</w:t>
      </w:r>
      <w:r>
        <w:rPr>
          <w:rFonts w:hint="eastAsia" w:ascii="方正仿宋_GBK" w:hAnsi="方正仿宋_GBK"/>
          <w:sz w:val="28"/>
          <w:szCs w:val="28"/>
        </w:rPr>
        <w:t>、代理服务</w:t>
      </w:r>
      <w:bookmarkEnd w:id="22"/>
      <w:bookmarkEnd w:id="23"/>
      <w:bookmarkEnd w:id="24"/>
    </w:p>
    <w:p>
      <w:pPr>
        <w:widowControl/>
        <w:ind w:firstLine="560" w:firstLineChars="200"/>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rPr>
        <w:t>代理服务费</w:t>
      </w:r>
      <w:r>
        <w:rPr>
          <w:rFonts w:hint="eastAsia" w:ascii="方正仿宋_GBK" w:hAnsi="方正仿宋_GBK" w:eastAsia="方正仿宋_GBK" w:cs="方正仿宋_GBK"/>
          <w:bCs/>
          <w:color w:val="auto"/>
          <w:sz w:val="28"/>
          <w:szCs w:val="28"/>
          <w:lang w:val="en-US" w:eastAsia="zh-CN"/>
        </w:rPr>
        <w:t>6000</w:t>
      </w:r>
      <w:r>
        <w:rPr>
          <w:rFonts w:hint="eastAsia" w:ascii="方正仿宋_GBK" w:hAnsi="方正仿宋_GBK" w:eastAsia="方正仿宋_GBK" w:cs="方正仿宋_GBK"/>
          <w:bCs/>
          <w:color w:val="auto"/>
          <w:sz w:val="28"/>
          <w:szCs w:val="28"/>
        </w:rPr>
        <w:t>.00</w:t>
      </w:r>
      <w:r>
        <w:rPr>
          <w:rFonts w:hint="eastAsia" w:ascii="方正仿宋_GBK" w:hAnsi="方正仿宋_GBK" w:eastAsia="方正仿宋_GBK" w:cs="方正仿宋_GBK"/>
          <w:bCs/>
          <w:color w:val="auto"/>
          <w:sz w:val="28"/>
          <w:szCs w:val="28"/>
          <w:lang w:eastAsia="zh-CN"/>
        </w:rPr>
        <w:t>元</w:t>
      </w:r>
      <w:r>
        <w:rPr>
          <w:rFonts w:hint="eastAsia" w:ascii="方正仿宋_GBK" w:hAnsi="方正仿宋_GBK" w:eastAsia="方正仿宋_GBK" w:cs="方正仿宋_GBK"/>
          <w:bCs/>
          <w:color w:val="auto"/>
          <w:sz w:val="28"/>
          <w:szCs w:val="28"/>
        </w:rPr>
        <w:t>（大写：</w:t>
      </w:r>
      <w:r>
        <w:rPr>
          <w:rFonts w:hint="eastAsia" w:ascii="方正仿宋_GBK" w:hAnsi="方正仿宋_GBK" w:eastAsia="方正仿宋_GBK" w:cs="方正仿宋_GBK"/>
          <w:bCs/>
          <w:color w:val="auto"/>
          <w:sz w:val="28"/>
          <w:szCs w:val="28"/>
          <w:lang w:eastAsia="zh-CN"/>
        </w:rPr>
        <w:t>陆仟元</w:t>
      </w:r>
      <w:r>
        <w:rPr>
          <w:rFonts w:hint="eastAsia" w:ascii="方正仿宋_GBK" w:hAnsi="方正仿宋_GBK" w:eastAsia="方正仿宋_GBK" w:cs="方正仿宋_GBK"/>
          <w:bCs/>
          <w:color w:val="auto"/>
          <w:sz w:val="28"/>
          <w:szCs w:val="28"/>
        </w:rPr>
        <w:t>整），</w:t>
      </w:r>
      <w:r>
        <w:rPr>
          <w:rFonts w:hint="eastAsia" w:ascii="方正仿宋_GBK" w:hAnsi="方正仿宋_GBK" w:eastAsia="方正仿宋_GBK" w:cs="方正仿宋_GBK"/>
          <w:bCs/>
          <w:color w:val="auto"/>
          <w:sz w:val="28"/>
          <w:szCs w:val="28"/>
          <w:u w:val="none"/>
        </w:rPr>
        <w:t>由</w:t>
      </w:r>
      <w:r>
        <w:rPr>
          <w:rFonts w:hint="eastAsia" w:ascii="方正仿宋_GBK" w:hAnsi="方正仿宋_GBK" w:eastAsia="方正仿宋_GBK" w:cs="方正仿宋_GBK"/>
          <w:bCs/>
          <w:color w:val="auto"/>
          <w:sz w:val="28"/>
          <w:szCs w:val="28"/>
          <w:u w:val="single"/>
          <w:lang w:eastAsia="zh-CN"/>
        </w:rPr>
        <w:t>成交供应商</w:t>
      </w:r>
      <w:r>
        <w:rPr>
          <w:rFonts w:hint="eastAsia" w:ascii="方正仿宋_GBK" w:hAnsi="方正仿宋_GBK" w:eastAsia="方正仿宋_GBK" w:cs="方正仿宋_GBK"/>
          <w:bCs/>
          <w:color w:val="auto"/>
          <w:sz w:val="28"/>
          <w:szCs w:val="28"/>
          <w:u w:val="none"/>
          <w:lang w:eastAsia="zh-CN"/>
        </w:rPr>
        <w:t>领取成交通知书前</w:t>
      </w:r>
      <w:r>
        <w:rPr>
          <w:rFonts w:hint="eastAsia" w:ascii="方正仿宋_GBK" w:hAnsi="方正仿宋_GBK" w:eastAsia="方正仿宋_GBK" w:cs="方正仿宋_GBK"/>
          <w:bCs/>
          <w:color w:val="auto"/>
          <w:sz w:val="28"/>
          <w:szCs w:val="28"/>
          <w:u w:val="none"/>
        </w:rPr>
        <w:t>向代理公司支付。</w:t>
      </w:r>
    </w:p>
    <w:p>
      <w:pPr>
        <w:widowControl/>
        <w:ind w:firstLine="560" w:firstLineChars="200"/>
        <w:rPr>
          <w:rFonts w:hint="eastAsia" w:ascii="方正仿宋_GBK" w:hAnsi="方正仿宋_GBK" w:eastAsia="方正仿宋_GBK" w:cs="方正仿宋_GBK"/>
          <w:bCs/>
          <w:color w:val="auto"/>
          <w:kern w:val="2"/>
          <w:sz w:val="28"/>
          <w:szCs w:val="28"/>
          <w:lang w:val="en-US" w:eastAsia="zh-CN" w:bidi="ar-SA"/>
        </w:rPr>
      </w:pPr>
      <w:r>
        <w:rPr>
          <w:rFonts w:hint="eastAsia" w:ascii="方正仿宋_GBK" w:hAnsi="方正仿宋_GBK" w:eastAsia="方正仿宋_GBK" w:cs="方正仿宋_GBK"/>
          <w:bCs/>
          <w:color w:val="auto"/>
          <w:kern w:val="2"/>
          <w:sz w:val="28"/>
          <w:szCs w:val="28"/>
          <w:lang w:val="en-US" w:eastAsia="zh-CN" w:bidi="ar-SA"/>
        </w:rPr>
        <w:t>户名:四川振嘉工程招标代理有限公司</w:t>
      </w:r>
    </w:p>
    <w:p>
      <w:pPr>
        <w:widowControl/>
        <w:ind w:firstLine="560" w:firstLineChars="200"/>
        <w:rPr>
          <w:rFonts w:hint="eastAsia" w:ascii="方正仿宋_GBK" w:hAnsi="方正仿宋_GBK" w:eastAsia="方正仿宋_GBK" w:cs="方正仿宋_GBK"/>
          <w:bCs/>
          <w:color w:val="auto"/>
          <w:kern w:val="2"/>
          <w:sz w:val="28"/>
          <w:szCs w:val="28"/>
          <w:lang w:val="en-US" w:eastAsia="zh-CN" w:bidi="ar-SA"/>
        </w:rPr>
      </w:pPr>
      <w:r>
        <w:rPr>
          <w:rFonts w:hint="eastAsia" w:ascii="方正仿宋_GBK" w:hAnsi="方正仿宋_GBK" w:eastAsia="方正仿宋_GBK" w:cs="方正仿宋_GBK"/>
          <w:bCs/>
          <w:color w:val="auto"/>
          <w:kern w:val="2"/>
          <w:sz w:val="28"/>
          <w:szCs w:val="28"/>
          <w:lang w:val="en-US" w:eastAsia="zh-CN" w:bidi="ar-SA"/>
        </w:rPr>
        <w:t>开户行:中国工商银行股份有限公司巴中分行金桥支行</w:t>
      </w:r>
    </w:p>
    <w:p>
      <w:pPr>
        <w:widowControl/>
        <w:ind w:firstLine="560" w:firstLineChars="200"/>
        <w:rPr>
          <w:rFonts w:hint="eastAsia" w:ascii="方正仿宋_GBK" w:hAnsi="方正仿宋_GBK" w:eastAsia="方正仿宋_GBK" w:cs="方正仿宋_GBK"/>
          <w:bCs/>
          <w:color w:val="auto"/>
          <w:kern w:val="2"/>
          <w:sz w:val="28"/>
          <w:szCs w:val="28"/>
          <w:lang w:val="en-US" w:eastAsia="zh-CN" w:bidi="ar-SA"/>
        </w:rPr>
      </w:pPr>
      <w:r>
        <w:rPr>
          <w:rFonts w:hint="eastAsia" w:ascii="方正仿宋_GBK" w:hAnsi="方正仿宋_GBK" w:eastAsia="方正仿宋_GBK" w:cs="方正仿宋_GBK"/>
          <w:bCs/>
          <w:color w:val="auto"/>
          <w:kern w:val="2"/>
          <w:sz w:val="28"/>
          <w:szCs w:val="28"/>
          <w:lang w:val="en-US" w:eastAsia="zh-CN" w:bidi="ar-SA"/>
        </w:rPr>
        <w:t>账号:2318000819100057781</w:t>
      </w:r>
    </w:p>
    <w:p>
      <w:pPr>
        <w:pStyle w:val="3"/>
        <w:rPr>
          <w:rFonts w:ascii="方正仿宋_GBK" w:hAnsi="方正仿宋_GBK"/>
          <w:sz w:val="28"/>
          <w:szCs w:val="28"/>
        </w:rPr>
      </w:pPr>
      <w:bookmarkStart w:id="25" w:name="_Toc13153"/>
      <w:r>
        <w:rPr>
          <w:rFonts w:hint="eastAsia" w:ascii="方正仿宋_GBK" w:hAnsi="方正仿宋_GBK"/>
          <w:sz w:val="28"/>
          <w:szCs w:val="28"/>
        </w:rPr>
        <w:t>十</w:t>
      </w:r>
      <w:r>
        <w:rPr>
          <w:rFonts w:hint="eastAsia" w:ascii="方正仿宋_GBK" w:hAnsi="方正仿宋_GBK"/>
          <w:sz w:val="28"/>
          <w:szCs w:val="28"/>
          <w:lang w:eastAsia="zh-CN"/>
        </w:rPr>
        <w:t>三</w:t>
      </w:r>
      <w:r>
        <w:rPr>
          <w:rFonts w:hint="eastAsia" w:ascii="方正仿宋_GBK" w:hAnsi="方正仿宋_GBK"/>
          <w:sz w:val="28"/>
          <w:szCs w:val="28"/>
        </w:rPr>
        <w:t>、联系方式</w:t>
      </w:r>
      <w:bookmarkEnd w:id="25"/>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巴中市消防救援支队</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赖</w:t>
      </w:r>
      <w:r>
        <w:rPr>
          <w:rFonts w:hint="eastAsia" w:ascii="方正仿宋_GBK" w:hAnsi="方正仿宋_GBK" w:eastAsia="方正仿宋_GBK" w:cs="方正仿宋_GBK"/>
          <w:color w:val="000000" w:themeColor="text1"/>
          <w:sz w:val="28"/>
          <w:szCs w:val="28"/>
          <w14:textFill>
            <w14:solidFill>
              <w14:schemeClr w14:val="tx1"/>
            </w14:solidFill>
          </w14:textFill>
        </w:rPr>
        <w:t>老师；</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巴中市消防救援支队</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w:t>
      </w:r>
      <w:r>
        <w:rPr>
          <w:rFonts w:hint="eastAsia" w:ascii="方正仿宋_GBK" w:eastAsia="方正仿宋_GBK"/>
          <w:sz w:val="28"/>
          <w:szCs w:val="28"/>
          <w:highlight w:val="none"/>
          <w:lang w:val="en-US" w:eastAsia="zh-CN"/>
        </w:rPr>
        <w:t>15775727730</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地    址：巴中市江北大道西段凯悦名城9栋12楼；</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蒲老师</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联系电话：0827-8668888。</w:t>
      </w:r>
    </w:p>
    <w:p>
      <w:pPr>
        <w:pStyle w:val="3"/>
        <w:spacing w:line="360" w:lineRule="auto"/>
        <w:rPr>
          <w:rFonts w:ascii="方正仿宋_GBK" w:hAnsi="方正仿宋_GBK"/>
          <w:sz w:val="28"/>
          <w:szCs w:val="28"/>
        </w:rPr>
      </w:pPr>
      <w:bookmarkStart w:id="26" w:name="_Toc26219"/>
      <w:bookmarkStart w:id="27" w:name="_Toc3766"/>
      <w:bookmarkStart w:id="28" w:name="_Toc689"/>
      <w:bookmarkStart w:id="29" w:name="_Toc669"/>
      <w:r>
        <w:rPr>
          <w:rFonts w:hint="eastAsia" w:ascii="方正仿宋_GBK" w:hAnsi="方正仿宋_GBK"/>
          <w:sz w:val="28"/>
          <w:szCs w:val="28"/>
        </w:rPr>
        <w:t>十</w:t>
      </w:r>
      <w:r>
        <w:rPr>
          <w:rFonts w:hint="eastAsia" w:ascii="方正仿宋_GBK" w:hAnsi="方正仿宋_GBK"/>
          <w:sz w:val="28"/>
          <w:szCs w:val="28"/>
          <w:lang w:eastAsia="zh-CN"/>
        </w:rPr>
        <w:t>四</w:t>
      </w:r>
      <w:r>
        <w:rPr>
          <w:rFonts w:hint="eastAsia" w:ascii="方正仿宋_GBK" w:hAnsi="方正仿宋_GBK"/>
          <w:sz w:val="28"/>
          <w:szCs w:val="28"/>
        </w:rPr>
        <w:t>、询问、质疑</w:t>
      </w:r>
      <w:bookmarkEnd w:id="26"/>
      <w:bookmarkEnd w:id="27"/>
      <w:bookmarkEnd w:id="28"/>
      <w:bookmarkEnd w:id="29"/>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巴中市消防救援支队</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r>
        <w:rPr>
          <w:rFonts w:hint="eastAsia" w:ascii="方正仿宋_GBK" w:hAnsi="方正仿宋_GBK" w:eastAsia="方正仿宋_GBK" w:cs="方正仿宋_GBK"/>
          <w:sz w:val="28"/>
          <w:szCs w:val="28"/>
          <w:lang w:eastAsia="zh-CN"/>
        </w:rPr>
        <w:t>赖</w:t>
      </w:r>
      <w:r>
        <w:rPr>
          <w:rFonts w:hint="eastAsia" w:ascii="方正仿宋_GBK" w:hAnsi="方正仿宋_GBK" w:eastAsia="方正仿宋_GBK" w:cs="方正仿宋_GBK"/>
          <w:sz w:val="28"/>
          <w:szCs w:val="28"/>
        </w:rPr>
        <w:t>老师；</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r>
        <w:rPr>
          <w:rFonts w:hint="eastAsia" w:ascii="方正仿宋_GBK" w:eastAsia="方正仿宋_GBK"/>
          <w:color w:val="auto"/>
          <w:sz w:val="28"/>
          <w:szCs w:val="28"/>
          <w:highlight w:val="none"/>
          <w:lang w:val="en-US" w:eastAsia="zh-CN"/>
        </w:rPr>
        <w:t>15775727730</w:t>
      </w:r>
      <w:r>
        <w:rPr>
          <w:rFonts w:hint="eastAsia" w:ascii="方正仿宋_GBK" w:hAnsi="方正仿宋_GBK" w:eastAsia="方正仿宋_GBK" w:cs="方正仿宋_GBK"/>
          <w:color w:val="auto"/>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递交地址：巴中市江北大道西段凯悦名城9栋12楼；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蒲老师</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30" w:name="_Toc19621"/>
      <w:bookmarkStart w:id="31" w:name="_Toc27803"/>
      <w:bookmarkStart w:id="32" w:name="_Toc448"/>
      <w:bookmarkStart w:id="33" w:name="_Toc17989"/>
      <w:r>
        <w:rPr>
          <w:rFonts w:hint="eastAsia" w:ascii="方正仿宋_GBK" w:hAnsi="方正仿宋_GBK"/>
          <w:sz w:val="28"/>
          <w:szCs w:val="28"/>
        </w:rPr>
        <w:t>十</w:t>
      </w:r>
      <w:r>
        <w:rPr>
          <w:rFonts w:hint="eastAsia" w:ascii="方正仿宋_GBK" w:hAnsi="方正仿宋_GBK"/>
          <w:sz w:val="28"/>
          <w:szCs w:val="28"/>
          <w:lang w:eastAsia="zh-CN"/>
        </w:rPr>
        <w:t>五</w:t>
      </w:r>
      <w:r>
        <w:rPr>
          <w:rFonts w:hint="eastAsia" w:ascii="方正仿宋_GBK" w:hAnsi="方正仿宋_GBK"/>
          <w:sz w:val="28"/>
          <w:szCs w:val="28"/>
        </w:rPr>
        <w:t>、</w:t>
      </w:r>
      <w:r>
        <w:rPr>
          <w:rFonts w:hint="eastAsia" w:ascii="方正仿宋_GBK" w:hAnsi="方正仿宋_GBK"/>
          <w:sz w:val="28"/>
          <w:szCs w:val="28"/>
          <w:lang w:eastAsia="zh-CN"/>
        </w:rPr>
        <w:t>磋商</w:t>
      </w:r>
      <w:r>
        <w:rPr>
          <w:rFonts w:hint="eastAsia" w:ascii="方正仿宋_GBK" w:hAnsi="方正仿宋_GBK"/>
          <w:sz w:val="28"/>
          <w:szCs w:val="28"/>
        </w:rPr>
        <w:t>保证金及履约保证金</w:t>
      </w:r>
      <w:bookmarkEnd w:id="30"/>
      <w:bookmarkEnd w:id="31"/>
      <w:bookmarkEnd w:id="32"/>
      <w:bookmarkEnd w:id="33"/>
    </w:p>
    <w:p>
      <w:pPr>
        <w:spacing w:line="360" w:lineRule="auto"/>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保证金</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不收取</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履约保证金</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不收取</w:t>
      </w:r>
    </w:p>
    <w:p>
      <w:pPr>
        <w:pStyle w:val="3"/>
        <w:spacing w:line="360" w:lineRule="auto"/>
        <w:rPr>
          <w:rFonts w:hint="eastAsia" w:ascii="方正仿宋_GBK" w:hAnsi="方正仿宋_GBK"/>
          <w:sz w:val="28"/>
          <w:szCs w:val="28"/>
          <w:lang w:eastAsia="zh-CN"/>
        </w:rPr>
      </w:pPr>
      <w:bookmarkStart w:id="34" w:name="_Toc24116"/>
      <w:r>
        <w:rPr>
          <w:rFonts w:hint="eastAsia" w:ascii="方正仿宋_GBK" w:hAnsi="方正仿宋_GBK"/>
          <w:sz w:val="28"/>
          <w:szCs w:val="28"/>
        </w:rPr>
        <w:t>十</w:t>
      </w:r>
      <w:r>
        <w:rPr>
          <w:rFonts w:hint="eastAsia" w:ascii="方正仿宋_GBK" w:hAnsi="方正仿宋_GBK"/>
          <w:sz w:val="28"/>
          <w:szCs w:val="28"/>
          <w:lang w:eastAsia="zh-CN"/>
        </w:rPr>
        <w:t>六</w:t>
      </w:r>
      <w:r>
        <w:rPr>
          <w:rFonts w:hint="eastAsia" w:ascii="方正仿宋_GBK" w:hAnsi="方正仿宋_GBK"/>
          <w:sz w:val="28"/>
          <w:szCs w:val="28"/>
        </w:rPr>
        <w:t>、合同草案</w:t>
      </w:r>
      <w:bookmarkEnd w:id="34"/>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签订地点：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签订时间：</w:t>
      </w:r>
      <w:r>
        <w:rPr>
          <w:rFonts w:hint="eastAsia" w:ascii="方正仿宋_GBK" w:hAnsi="方正仿宋_GBK" w:eastAsia="方正仿宋_GBK" w:cs="方正仿宋_GBK"/>
          <w:sz w:val="28"/>
          <w:szCs w:val="21"/>
          <w:lang w:val="en-US" w:eastAsia="zh-CN"/>
        </w:rPr>
        <w:t xml:space="preserve">   </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szCs w:val="21"/>
          <w:lang w:val="en-US" w:eastAsia="zh-CN"/>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szCs w:val="21"/>
          <w:lang w:val="en-US" w:eastAsia="zh-CN"/>
        </w:rPr>
        <w:t xml:space="preserve">   </w:t>
      </w:r>
      <w:r>
        <w:rPr>
          <w:rFonts w:hint="eastAsia" w:ascii="方正仿宋_GBK" w:hAnsi="方正仿宋_GBK" w:eastAsia="方正仿宋_GBK" w:cs="方正仿宋_GBK"/>
          <w:sz w:val="28"/>
        </w:rPr>
        <w:t>日</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采购人（甲方）：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供应商（乙方）：</w:t>
      </w:r>
    </w:p>
    <w:p>
      <w:pPr>
        <w:pageBreakBefore w:val="0"/>
        <w:kinsoku/>
        <w:wordWrap/>
        <w:overflowPunct/>
        <w:topLinePunct w:val="0"/>
        <w:autoSpaceDE/>
        <w:autoSpaceDN/>
        <w:bidi w:val="0"/>
        <w:adjustRightInd/>
        <w:snapToGrid/>
        <w:spacing w:beforeAutospacing="0" w:afterAutospacing="0" w:line="360" w:lineRule="auto"/>
        <w:ind w:firstLine="700" w:firstLineChars="25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根据《中华人民共和国政府采购法》、《中华人民共和国合同法》及</w:t>
      </w:r>
      <w:r>
        <w:rPr>
          <w:rFonts w:hint="eastAsia" w:ascii="方正仿宋_GBK" w:hAnsi="方正仿宋_GBK" w:eastAsia="方正仿宋_GBK" w:cs="方正仿宋_GBK"/>
          <w:sz w:val="28"/>
          <w:szCs w:val="21"/>
          <w:u w:val="single"/>
          <w:lang w:val="en-US" w:eastAsia="zh-CN"/>
        </w:rPr>
        <w:t xml:space="preserve">                 </w:t>
      </w:r>
      <w:r>
        <w:rPr>
          <w:rFonts w:hint="eastAsia" w:ascii="方正仿宋_GBK" w:hAnsi="方正仿宋_GBK" w:eastAsia="方正仿宋_GBK" w:cs="方正仿宋_GBK"/>
          <w:sz w:val="28"/>
        </w:rPr>
        <w:t>采购项目（项目编号：</w:t>
      </w:r>
      <w:r>
        <w:rPr>
          <w:rFonts w:hint="eastAsia" w:ascii="方正仿宋_GBK" w:hAnsi="方正仿宋_GBK" w:eastAsia="方正仿宋_GBK" w:cs="方正仿宋_GBK"/>
          <w:sz w:val="28"/>
          <w:szCs w:val="21"/>
          <w:u w:val="single"/>
          <w:lang w:val="en-US" w:eastAsia="zh-CN"/>
        </w:rPr>
        <w:t xml:space="preserve">       </w:t>
      </w:r>
      <w:r>
        <w:rPr>
          <w:rFonts w:hint="eastAsia" w:ascii="方正仿宋_GBK" w:hAnsi="方正仿宋_GBK" w:eastAsia="方正仿宋_GBK" w:cs="方正仿宋_GBK"/>
          <w:sz w:val="28"/>
        </w:rPr>
        <w:t>的《</w:t>
      </w:r>
      <w:r>
        <w:rPr>
          <w:rFonts w:hint="eastAsia" w:ascii="方正仿宋_GBK" w:hAnsi="方正仿宋_GBK" w:eastAsia="方正仿宋_GBK" w:cs="方正仿宋_GBK"/>
          <w:sz w:val="28"/>
          <w:lang w:eastAsia="zh-CN"/>
        </w:rPr>
        <w:t>采购文件</w:t>
      </w:r>
      <w:r>
        <w:rPr>
          <w:rFonts w:hint="eastAsia" w:ascii="方正仿宋_GBK" w:hAnsi="方正仿宋_GBK" w:eastAsia="方正仿宋_GBK" w:cs="方正仿宋_GBK"/>
          <w:sz w:val="28"/>
        </w:rPr>
        <w:t>》、乙方的《</w:t>
      </w:r>
      <w:r>
        <w:rPr>
          <w:rFonts w:hint="eastAsia" w:ascii="方正仿宋_GBK" w:hAnsi="方正仿宋_GBK" w:eastAsia="方正仿宋_GBK" w:cs="方正仿宋_GBK"/>
          <w:sz w:val="28"/>
          <w:lang w:eastAsia="zh-CN"/>
        </w:rPr>
        <w:t>响应文件</w:t>
      </w:r>
      <w:r>
        <w:rPr>
          <w:rFonts w:hint="eastAsia" w:ascii="方正仿宋_GBK" w:hAnsi="方正仿宋_GBK" w:eastAsia="方正仿宋_GBK" w:cs="方正仿宋_GBK"/>
          <w:sz w:val="28"/>
        </w:rPr>
        <w:t>》及《</w:t>
      </w:r>
      <w:r>
        <w:rPr>
          <w:rFonts w:hint="eastAsia" w:ascii="方正仿宋_GBK" w:hAnsi="方正仿宋_GBK" w:eastAsia="方正仿宋_GBK" w:cs="方正仿宋_GBK"/>
          <w:sz w:val="28"/>
          <w:lang w:eastAsia="zh-CN"/>
        </w:rPr>
        <w:t>成交通知书</w:t>
      </w:r>
      <w:r>
        <w:rPr>
          <w:rFonts w:hint="eastAsia" w:ascii="方正仿宋_GBK" w:hAnsi="方正仿宋_GBK" w:eastAsia="方正仿宋_GBK" w:cs="方正仿宋_GBK"/>
          <w:sz w:val="28"/>
        </w:rPr>
        <w:t>》，甲、乙双方同意签订本合同。详细技术说明及其他有关合同项目的特定信息由合同附件予以说明，合同附件及本项目的</w:t>
      </w:r>
      <w:r>
        <w:rPr>
          <w:rFonts w:hint="eastAsia" w:ascii="方正仿宋_GBK" w:hAnsi="方正仿宋_GBK" w:eastAsia="方正仿宋_GBK" w:cs="方正仿宋_GBK"/>
          <w:sz w:val="28"/>
          <w:lang w:eastAsia="zh-CN"/>
        </w:rPr>
        <w:t>采购文件</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响应文件</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成交通知书</w:t>
      </w:r>
      <w:r>
        <w:rPr>
          <w:rFonts w:hint="eastAsia" w:ascii="方正仿宋_GBK" w:hAnsi="方正仿宋_GBK" w:eastAsia="方正仿宋_GBK" w:cs="方正仿宋_GBK"/>
          <w:sz w:val="28"/>
        </w:rPr>
        <w:t>》等均为本合同不可分割的部分。双方同意共同遵守如下条款：</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第一条：合同标的</w:t>
      </w:r>
    </w:p>
    <w:tbl>
      <w:tblPr>
        <w:tblStyle w:val="20"/>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649"/>
        <w:gridCol w:w="266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序号</w:t>
            </w:r>
          </w:p>
        </w:tc>
        <w:tc>
          <w:tcPr>
            <w:tcW w:w="26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采购内容</w:t>
            </w:r>
          </w:p>
        </w:tc>
        <w:tc>
          <w:tcPr>
            <w:tcW w:w="2660"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报价下浮率     %</w:t>
            </w:r>
          </w:p>
        </w:tc>
        <w:tc>
          <w:tcPr>
            <w:tcW w:w="1466"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2649" w:type="dxa"/>
            <w:vAlign w:val="center"/>
          </w:tcPr>
          <w:p>
            <w:pPr>
              <w:spacing w:line="360" w:lineRule="auto"/>
              <w:jc w:val="both"/>
              <w:rPr>
                <w:rFonts w:hint="eastAsia" w:ascii="方正仿宋_GBK" w:hAnsi="方正仿宋_GBK" w:eastAsia="方正仿宋_GBK" w:cs="方正仿宋_GBK"/>
                <w:kern w:val="2"/>
                <w:sz w:val="28"/>
                <w:szCs w:val="28"/>
                <w:lang w:val="en-US" w:eastAsia="zh-CN" w:bidi="ar-SA"/>
              </w:rPr>
            </w:pPr>
          </w:p>
        </w:tc>
        <w:tc>
          <w:tcPr>
            <w:tcW w:w="2660"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1466"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49"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2649" w:type="dxa"/>
            <w:vAlign w:val="center"/>
          </w:tcPr>
          <w:p>
            <w:pPr>
              <w:spacing w:line="360" w:lineRule="auto"/>
              <w:jc w:val="both"/>
              <w:rPr>
                <w:rFonts w:hint="eastAsia" w:ascii="方正仿宋_GBK" w:hAnsi="方正仿宋_GBK" w:eastAsia="方正仿宋_GBK" w:cs="方正仿宋_GBK"/>
                <w:kern w:val="2"/>
                <w:sz w:val="28"/>
                <w:szCs w:val="28"/>
                <w:lang w:val="en-US" w:eastAsia="zh-CN" w:bidi="ar-SA"/>
              </w:rPr>
            </w:pPr>
          </w:p>
        </w:tc>
        <w:tc>
          <w:tcPr>
            <w:tcW w:w="2660"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c>
          <w:tcPr>
            <w:tcW w:w="1466" w:type="dxa"/>
            <w:vAlign w:val="center"/>
          </w:tcPr>
          <w:p>
            <w:pPr>
              <w:spacing w:line="360" w:lineRule="auto"/>
              <w:jc w:val="center"/>
              <w:rPr>
                <w:rFonts w:hint="eastAsia" w:ascii="方正仿宋_GBK" w:hAnsi="方正仿宋_GBK" w:eastAsia="方正仿宋_GBK" w:cs="方正仿宋_GBK"/>
                <w:kern w:val="2"/>
                <w:sz w:val="28"/>
                <w:szCs w:val="28"/>
                <w:lang w:val="en-US" w:eastAsia="zh-CN" w:bidi="ar-SA"/>
              </w:rPr>
            </w:pPr>
          </w:p>
        </w:tc>
      </w:tr>
    </w:tbl>
    <w:p>
      <w:pPr>
        <w:pageBreakBefore w:val="0"/>
        <w:numPr>
          <w:ilvl w:val="0"/>
          <w:numId w:val="3"/>
        </w:numPr>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：合同</w:t>
      </w:r>
      <w:r>
        <w:rPr>
          <w:rFonts w:hint="eastAsia" w:ascii="方正仿宋_GBK" w:hAnsi="方正仿宋_GBK" w:eastAsia="方正仿宋_GBK" w:cs="方正仿宋_GBK"/>
          <w:sz w:val="28"/>
          <w:szCs w:val="28"/>
          <w:lang w:eastAsia="zh-CN"/>
        </w:rPr>
        <w:t>价款</w:t>
      </w:r>
    </w:p>
    <w:p>
      <w:pPr>
        <w:pStyle w:val="2"/>
        <w:numPr>
          <w:ilvl w:val="0"/>
          <w:numId w:val="0"/>
        </w:numPr>
        <w:rPr>
          <w:rFonts w:hint="eastAsia" w:eastAsia="宋体"/>
          <w:lang w:val="en-US" w:eastAsia="zh-CN"/>
        </w:rPr>
      </w:pPr>
      <w:r>
        <w:rPr>
          <w:rFonts w:hint="eastAsia"/>
          <w:lang w:val="en-US" w:eastAsia="zh-CN"/>
        </w:rPr>
        <w:t xml:space="preserve">     </w:t>
      </w:r>
      <w:r>
        <w:rPr>
          <w:rFonts w:hint="eastAsia" w:ascii="方正仿宋_GBK" w:hAnsi="方正仿宋_GBK" w:eastAsia="方正仿宋_GBK" w:cs="方正仿宋_GBK"/>
          <w:sz w:val="28"/>
          <w:szCs w:val="28"/>
          <w:lang w:val="en-US" w:eastAsia="zh-CN"/>
        </w:rPr>
        <w:t>按实际配送的食材数量进行结算。</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第三条：服务内容与质量标准</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1.________；</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2.________；</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3.________；</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第四条：服务费用的支付方式</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供应商每15天报价1次，采购人每月向供应商结算1次采购费用。</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第五条：知识产权</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乙方应保证所提供的服务或其任何一部分均不会侵犯任何第三方的专利权、商标权或著作权。</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第六条：无产权瑕疵条款</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乙方保证所提供的服务的所有权完全属于乙方且无任何抵押、查封等产权瑕疵。如有产权瑕疵的，视为乙方违约。乙方应负担由此而产生的一切损失。</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第七条：履约担保</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1.本合同签订前，乙方已向甲方提交了_____元的履约保证金/履约保函（受益人为甲方）。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2.履约担保作为违约金的一部分及用于补偿甲方因乙方不能履行合同义务而蒙受的损失。</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第八条：甲方的权利和义务</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2.甲方有权依据双方签订的考评办法对乙方提供的服务进行定期考评。当考评结果未达到标准时，有权依据考评办法约定的数额扣除履约担保。</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3.负责检查监督乙方管理工作的实施及制度的执行情况。</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4.根据本合同规定，按时向乙方支付应付服务费用。</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5.国家法律、法规所规定由甲方承担的其它责任。</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第九条：乙方的权利和义务</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1.对本合同规定的委托服务范围内的项目享有管理权及服务义务。</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2.根据本合同的规定向甲方收取相关服务费用，并有权在本项目管理范围内管理及合理使用。</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3.及时向甲方通告本项目服务范围内有关服务的重大事项，及时配合处理投诉。</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4.接受项目行业管理部门及政府有关部门的指导，接受甲方的监督。</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5.国家法律、法规所规定由乙方承担的其它责任。</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第十条：违约责任</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1.甲乙双方必须遵守本合同并执行合同中的各项规定，保证本合同的正常履行。</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第十一条：不可抗力事件处理</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3.不可抗力事件延续</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天以上，双方应通过友好协商，确定是否继续履行合同。</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第十二条：解决合同纠纷的方式</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1.在执行本合同中发生的或与本合同有关的争端，双方应通过友好协商解决，经协商不能达成协议时，应提交巴中仲裁委员会仲裁或向当地人民法院提起诉讼解决。</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2.仲裁裁决应为最终决定，并对双方具有约束力。</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3.除另有裁决外，仲裁费应由败诉方负担。</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4.在仲裁期间，除正在进行仲裁部分外，合同其他部分继续执行。</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第十三条：合同生效及其他</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1.合同经双方法定代表人或授权委托代理人签字并加盖单位公章后生效。</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2.合同执行中涉及采购资金和采购内容修改或补充的，须经政府采购监管部门审批，并签书面补充协议报政府采购监督管理部门备案，方可作为主合同不可分割的一部分。</w:t>
      </w:r>
    </w:p>
    <w:p>
      <w:pPr>
        <w:ind w:firstLine="560" w:firstLineChars="200"/>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3.本合同一式</w:t>
      </w:r>
      <w:r>
        <w:rPr>
          <w:rFonts w:hint="eastAsia" w:ascii="方正仿宋_GBK" w:hAnsi="方正仿宋_GBK" w:eastAsia="方正仿宋_GBK" w:cs="方正仿宋_GBK"/>
          <w:color w:val="000000"/>
          <w:sz w:val="28"/>
          <w:u w:val="single"/>
        </w:rPr>
        <w:t>陆</w:t>
      </w:r>
      <w:r>
        <w:rPr>
          <w:rFonts w:hint="eastAsia" w:ascii="方正仿宋_GBK" w:hAnsi="方正仿宋_GBK" w:eastAsia="方正仿宋_GBK" w:cs="方正仿宋_GBK"/>
          <w:color w:val="000000"/>
          <w:sz w:val="28"/>
        </w:rPr>
        <w:t>份，自双方签章之日起起效。甲方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份，乙方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份，政府采购代理机构</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份，同级财政部门备案</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份，具有同等法律效力。</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乙方（盖章）：   </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lang w:eastAsia="zh-CN"/>
        </w:rPr>
      </w:pPr>
    </w:p>
    <w:p>
      <w:pPr>
        <w:pStyle w:val="2"/>
        <w:rPr>
          <w:rFonts w:hint="eastAsia"/>
          <w:lang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Microsoft JhengHei">
    <w:panose1 w:val="020B0604030504040204"/>
    <w:charset w:val="88"/>
    <w:family w:val="modern"/>
    <w:pitch w:val="default"/>
    <w:sig w:usb0="00000087" w:usb1="28AF4000" w:usb2="00000016" w:usb3="00000000" w:csb0="00100009"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方正仿宋_GBK" w:hAnsi="方正仿宋_GBK" w:eastAsia="方正仿宋_GBK" w:cs="方正仿宋_GBK"/>
        <w:sz w:val="21"/>
        <w:szCs w:val="21"/>
      </w:rPr>
      <w:t xml:space="preserve">巴中市江北大道西段凯悦名城9栋12楼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联系电话：0827-8668888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673EA"/>
    <w:multiLevelType w:val="singleLevel"/>
    <w:tmpl w:val="1CB673EA"/>
    <w:lvl w:ilvl="0" w:tentative="0">
      <w:start w:val="4"/>
      <w:numFmt w:val="chineseCounting"/>
      <w:suff w:val="nothing"/>
      <w:lvlText w:val="%1、"/>
      <w:lvlJc w:val="left"/>
      <w:rPr>
        <w:rFonts w:hint="eastAsia"/>
      </w:rPr>
    </w:lvl>
  </w:abstractNum>
  <w:abstractNum w:abstractNumId="1">
    <w:nsid w:val="60408819"/>
    <w:multiLevelType w:val="singleLevel"/>
    <w:tmpl w:val="60408819"/>
    <w:lvl w:ilvl="0" w:tentative="0">
      <w:start w:val="1"/>
      <w:numFmt w:val="chineseCounting"/>
      <w:suff w:val="nothing"/>
      <w:lvlText w:val="（%1）"/>
      <w:lvlJc w:val="left"/>
    </w:lvl>
  </w:abstractNum>
  <w:abstractNum w:abstractNumId="2">
    <w:nsid w:val="6041EA86"/>
    <w:multiLevelType w:val="singleLevel"/>
    <w:tmpl w:val="6041EA86"/>
    <w:lvl w:ilvl="0" w:tentative="0">
      <w:start w:val="2"/>
      <w:numFmt w:val="chineseCounting"/>
      <w:suff w:val="nothing"/>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2ZkZDc2NDI0MTI3NzE5MmMwMzkzYzYzMmI0MTUifQ=="/>
  </w:docVars>
  <w:rsids>
    <w:rsidRoot w:val="00172A27"/>
    <w:rsid w:val="00000F91"/>
    <w:rsid w:val="0005506D"/>
    <w:rsid w:val="0009541C"/>
    <w:rsid w:val="000E4FF5"/>
    <w:rsid w:val="00143976"/>
    <w:rsid w:val="00223E97"/>
    <w:rsid w:val="002421C3"/>
    <w:rsid w:val="002726CF"/>
    <w:rsid w:val="00283C96"/>
    <w:rsid w:val="0032361A"/>
    <w:rsid w:val="003414E4"/>
    <w:rsid w:val="003552E3"/>
    <w:rsid w:val="00366455"/>
    <w:rsid w:val="003703BD"/>
    <w:rsid w:val="00420F71"/>
    <w:rsid w:val="00450F1F"/>
    <w:rsid w:val="004A52F3"/>
    <w:rsid w:val="004B6CB2"/>
    <w:rsid w:val="004E30E9"/>
    <w:rsid w:val="004E58A9"/>
    <w:rsid w:val="00503C59"/>
    <w:rsid w:val="005C70E9"/>
    <w:rsid w:val="00644CD9"/>
    <w:rsid w:val="006646F9"/>
    <w:rsid w:val="006827CA"/>
    <w:rsid w:val="006C22BB"/>
    <w:rsid w:val="006F38C5"/>
    <w:rsid w:val="007066AD"/>
    <w:rsid w:val="00715DF4"/>
    <w:rsid w:val="007300DC"/>
    <w:rsid w:val="00770FA3"/>
    <w:rsid w:val="00795614"/>
    <w:rsid w:val="00810441"/>
    <w:rsid w:val="008463FC"/>
    <w:rsid w:val="00934D40"/>
    <w:rsid w:val="00967474"/>
    <w:rsid w:val="00990AC6"/>
    <w:rsid w:val="009D325E"/>
    <w:rsid w:val="009E07F5"/>
    <w:rsid w:val="00A211E0"/>
    <w:rsid w:val="00A761F0"/>
    <w:rsid w:val="00AA4B45"/>
    <w:rsid w:val="00AD1399"/>
    <w:rsid w:val="00AF7A8E"/>
    <w:rsid w:val="00B31A0C"/>
    <w:rsid w:val="00B3277B"/>
    <w:rsid w:val="00B53540"/>
    <w:rsid w:val="00BE2634"/>
    <w:rsid w:val="00BE2CD7"/>
    <w:rsid w:val="00BE3155"/>
    <w:rsid w:val="00C62D7B"/>
    <w:rsid w:val="00C63201"/>
    <w:rsid w:val="00CD5584"/>
    <w:rsid w:val="00DD3A4D"/>
    <w:rsid w:val="00DE3C37"/>
    <w:rsid w:val="00DF6DF9"/>
    <w:rsid w:val="00F43515"/>
    <w:rsid w:val="01683741"/>
    <w:rsid w:val="0176374C"/>
    <w:rsid w:val="01E26296"/>
    <w:rsid w:val="02090341"/>
    <w:rsid w:val="029167E5"/>
    <w:rsid w:val="02D62D89"/>
    <w:rsid w:val="03D35658"/>
    <w:rsid w:val="043860EA"/>
    <w:rsid w:val="04E13A54"/>
    <w:rsid w:val="04E55D51"/>
    <w:rsid w:val="04F43F68"/>
    <w:rsid w:val="051B3B9E"/>
    <w:rsid w:val="05A048D4"/>
    <w:rsid w:val="05CC0260"/>
    <w:rsid w:val="05CE3DDC"/>
    <w:rsid w:val="068A6D20"/>
    <w:rsid w:val="06F50DF4"/>
    <w:rsid w:val="077A3CCD"/>
    <w:rsid w:val="078C123B"/>
    <w:rsid w:val="079601DB"/>
    <w:rsid w:val="07B13BB2"/>
    <w:rsid w:val="094A5A48"/>
    <w:rsid w:val="09C01D0D"/>
    <w:rsid w:val="09EB0ED1"/>
    <w:rsid w:val="0A0336B7"/>
    <w:rsid w:val="0A9F1CBA"/>
    <w:rsid w:val="0B20265A"/>
    <w:rsid w:val="0C0B6BDB"/>
    <w:rsid w:val="0C6C35F7"/>
    <w:rsid w:val="0D245AC8"/>
    <w:rsid w:val="0D7F5D98"/>
    <w:rsid w:val="11DB00B9"/>
    <w:rsid w:val="121205B6"/>
    <w:rsid w:val="12DD2874"/>
    <w:rsid w:val="13095F5B"/>
    <w:rsid w:val="13831982"/>
    <w:rsid w:val="13D635A2"/>
    <w:rsid w:val="151D7482"/>
    <w:rsid w:val="151F018A"/>
    <w:rsid w:val="156F5A43"/>
    <w:rsid w:val="15ED1AB5"/>
    <w:rsid w:val="169D0B26"/>
    <w:rsid w:val="173F626C"/>
    <w:rsid w:val="17AF720B"/>
    <w:rsid w:val="17BA5559"/>
    <w:rsid w:val="17BE22CA"/>
    <w:rsid w:val="189A6DCC"/>
    <w:rsid w:val="19626C39"/>
    <w:rsid w:val="19707050"/>
    <w:rsid w:val="1A004525"/>
    <w:rsid w:val="1A097E1E"/>
    <w:rsid w:val="1AEB1C42"/>
    <w:rsid w:val="1AED0060"/>
    <w:rsid w:val="1AED3AAE"/>
    <w:rsid w:val="1B180DD0"/>
    <w:rsid w:val="1B9A7C34"/>
    <w:rsid w:val="1BA72AEC"/>
    <w:rsid w:val="1C12307E"/>
    <w:rsid w:val="1C1D4B81"/>
    <w:rsid w:val="1CEF1C9A"/>
    <w:rsid w:val="1D543070"/>
    <w:rsid w:val="1DAD1DA6"/>
    <w:rsid w:val="1E0279B1"/>
    <w:rsid w:val="1E0B6CAA"/>
    <w:rsid w:val="1E6D5441"/>
    <w:rsid w:val="1F9458CD"/>
    <w:rsid w:val="1FBF5098"/>
    <w:rsid w:val="20623C0A"/>
    <w:rsid w:val="207B7AA9"/>
    <w:rsid w:val="219341A3"/>
    <w:rsid w:val="235120AC"/>
    <w:rsid w:val="237815D0"/>
    <w:rsid w:val="24410F93"/>
    <w:rsid w:val="24EF7CEA"/>
    <w:rsid w:val="24FC0B0B"/>
    <w:rsid w:val="25291B80"/>
    <w:rsid w:val="25E12EF5"/>
    <w:rsid w:val="25E20968"/>
    <w:rsid w:val="25E877BF"/>
    <w:rsid w:val="272A5979"/>
    <w:rsid w:val="273870AC"/>
    <w:rsid w:val="27A17F3C"/>
    <w:rsid w:val="28563058"/>
    <w:rsid w:val="28E0448E"/>
    <w:rsid w:val="28FF0E30"/>
    <w:rsid w:val="29A16DA1"/>
    <w:rsid w:val="2A6709BA"/>
    <w:rsid w:val="2A7B43AE"/>
    <w:rsid w:val="2AD34460"/>
    <w:rsid w:val="2CE22563"/>
    <w:rsid w:val="2DD03B68"/>
    <w:rsid w:val="2EC33BE8"/>
    <w:rsid w:val="2F0448FF"/>
    <w:rsid w:val="313770E3"/>
    <w:rsid w:val="316E42C2"/>
    <w:rsid w:val="318339D6"/>
    <w:rsid w:val="31921B57"/>
    <w:rsid w:val="31DE7DEC"/>
    <w:rsid w:val="32493574"/>
    <w:rsid w:val="327360D5"/>
    <w:rsid w:val="32FA6A99"/>
    <w:rsid w:val="33067017"/>
    <w:rsid w:val="333B5F40"/>
    <w:rsid w:val="33AF2F9D"/>
    <w:rsid w:val="33C90C05"/>
    <w:rsid w:val="33D53ED4"/>
    <w:rsid w:val="34820F56"/>
    <w:rsid w:val="36482A77"/>
    <w:rsid w:val="36E32390"/>
    <w:rsid w:val="36EC25E1"/>
    <w:rsid w:val="378677BE"/>
    <w:rsid w:val="380F0744"/>
    <w:rsid w:val="38FB0CCA"/>
    <w:rsid w:val="394669C1"/>
    <w:rsid w:val="39804D05"/>
    <w:rsid w:val="399009B2"/>
    <w:rsid w:val="3A95314A"/>
    <w:rsid w:val="3AF13C3D"/>
    <w:rsid w:val="3B7965CD"/>
    <w:rsid w:val="3BF80224"/>
    <w:rsid w:val="3C340D08"/>
    <w:rsid w:val="3CA13BED"/>
    <w:rsid w:val="3D596B10"/>
    <w:rsid w:val="3D5E0CEB"/>
    <w:rsid w:val="3DD558CE"/>
    <w:rsid w:val="3DD93775"/>
    <w:rsid w:val="3E5E7642"/>
    <w:rsid w:val="3EB70651"/>
    <w:rsid w:val="3FF56653"/>
    <w:rsid w:val="405F48F1"/>
    <w:rsid w:val="40A95301"/>
    <w:rsid w:val="410838E5"/>
    <w:rsid w:val="41342993"/>
    <w:rsid w:val="41D23E80"/>
    <w:rsid w:val="42010D58"/>
    <w:rsid w:val="42470BBB"/>
    <w:rsid w:val="42484FE9"/>
    <w:rsid w:val="427879C5"/>
    <w:rsid w:val="42C65C9A"/>
    <w:rsid w:val="42F67637"/>
    <w:rsid w:val="42F81943"/>
    <w:rsid w:val="432A487D"/>
    <w:rsid w:val="43972F00"/>
    <w:rsid w:val="43D477ED"/>
    <w:rsid w:val="44B72CCB"/>
    <w:rsid w:val="450A1E65"/>
    <w:rsid w:val="450A1FB9"/>
    <w:rsid w:val="45161E1B"/>
    <w:rsid w:val="45774DEB"/>
    <w:rsid w:val="45F279A9"/>
    <w:rsid w:val="4603126E"/>
    <w:rsid w:val="46F77E3B"/>
    <w:rsid w:val="472127FC"/>
    <w:rsid w:val="47ED2F80"/>
    <w:rsid w:val="480D2ED6"/>
    <w:rsid w:val="487F030A"/>
    <w:rsid w:val="48B91E5D"/>
    <w:rsid w:val="49A40B70"/>
    <w:rsid w:val="49AF305A"/>
    <w:rsid w:val="49CD0D54"/>
    <w:rsid w:val="4A4E3578"/>
    <w:rsid w:val="4A8D1274"/>
    <w:rsid w:val="4A9C3808"/>
    <w:rsid w:val="4AFE56EF"/>
    <w:rsid w:val="4B151CBC"/>
    <w:rsid w:val="4B317E7E"/>
    <w:rsid w:val="4C3F037A"/>
    <w:rsid w:val="4C964C57"/>
    <w:rsid w:val="4CC5453C"/>
    <w:rsid w:val="4E185B78"/>
    <w:rsid w:val="4E9E7DC5"/>
    <w:rsid w:val="4EA9509B"/>
    <w:rsid w:val="4FF718BE"/>
    <w:rsid w:val="50265CB7"/>
    <w:rsid w:val="51051C5B"/>
    <w:rsid w:val="512305F6"/>
    <w:rsid w:val="51B004A6"/>
    <w:rsid w:val="51B86EB8"/>
    <w:rsid w:val="52630BD1"/>
    <w:rsid w:val="52F94EC9"/>
    <w:rsid w:val="53D73908"/>
    <w:rsid w:val="5426635A"/>
    <w:rsid w:val="54AC4660"/>
    <w:rsid w:val="54EE4488"/>
    <w:rsid w:val="553E0876"/>
    <w:rsid w:val="559B2D78"/>
    <w:rsid w:val="564F36BA"/>
    <w:rsid w:val="56A106AF"/>
    <w:rsid w:val="572D1669"/>
    <w:rsid w:val="574B347F"/>
    <w:rsid w:val="57804520"/>
    <w:rsid w:val="57BA4B5E"/>
    <w:rsid w:val="57D34819"/>
    <w:rsid w:val="5825522E"/>
    <w:rsid w:val="582A5AB9"/>
    <w:rsid w:val="595105B3"/>
    <w:rsid w:val="59D755EB"/>
    <w:rsid w:val="5A6D3971"/>
    <w:rsid w:val="5AD17264"/>
    <w:rsid w:val="5B263DA1"/>
    <w:rsid w:val="5D13780F"/>
    <w:rsid w:val="5D762C66"/>
    <w:rsid w:val="5E5D506F"/>
    <w:rsid w:val="5EB427B5"/>
    <w:rsid w:val="5EE428ED"/>
    <w:rsid w:val="5EEA6456"/>
    <w:rsid w:val="5F21609C"/>
    <w:rsid w:val="5F9F09A2"/>
    <w:rsid w:val="60067EFC"/>
    <w:rsid w:val="601E51C7"/>
    <w:rsid w:val="603B318E"/>
    <w:rsid w:val="60863203"/>
    <w:rsid w:val="60B43FF7"/>
    <w:rsid w:val="61397D74"/>
    <w:rsid w:val="613C20BE"/>
    <w:rsid w:val="61F75FB6"/>
    <w:rsid w:val="620A28BA"/>
    <w:rsid w:val="62917AA2"/>
    <w:rsid w:val="62DE4402"/>
    <w:rsid w:val="63CE3614"/>
    <w:rsid w:val="6417097E"/>
    <w:rsid w:val="64801FB8"/>
    <w:rsid w:val="64881B67"/>
    <w:rsid w:val="688B11D7"/>
    <w:rsid w:val="6925642E"/>
    <w:rsid w:val="69570C9C"/>
    <w:rsid w:val="6A4F3D78"/>
    <w:rsid w:val="6AA8094F"/>
    <w:rsid w:val="6AFA5111"/>
    <w:rsid w:val="6B500ACB"/>
    <w:rsid w:val="6BF449CD"/>
    <w:rsid w:val="6D0E2C4B"/>
    <w:rsid w:val="6D4D7655"/>
    <w:rsid w:val="6E1B29FD"/>
    <w:rsid w:val="6ECE601C"/>
    <w:rsid w:val="6F762728"/>
    <w:rsid w:val="6FF534ED"/>
    <w:rsid w:val="706F1065"/>
    <w:rsid w:val="70A12F15"/>
    <w:rsid w:val="712A52FE"/>
    <w:rsid w:val="716F055D"/>
    <w:rsid w:val="7197506A"/>
    <w:rsid w:val="71D719C2"/>
    <w:rsid w:val="72AA112F"/>
    <w:rsid w:val="72AE78AC"/>
    <w:rsid w:val="72CB03A1"/>
    <w:rsid w:val="732F7805"/>
    <w:rsid w:val="739670CC"/>
    <w:rsid w:val="73FB3DBB"/>
    <w:rsid w:val="741F66EC"/>
    <w:rsid w:val="74675424"/>
    <w:rsid w:val="75133A1A"/>
    <w:rsid w:val="766103F0"/>
    <w:rsid w:val="77253DF8"/>
    <w:rsid w:val="780A4986"/>
    <w:rsid w:val="781A2728"/>
    <w:rsid w:val="783237E2"/>
    <w:rsid w:val="7A6569F3"/>
    <w:rsid w:val="7A857DA9"/>
    <w:rsid w:val="7A9476E7"/>
    <w:rsid w:val="7B787792"/>
    <w:rsid w:val="7C896B62"/>
    <w:rsid w:val="7CA164FB"/>
    <w:rsid w:val="7CA52CD0"/>
    <w:rsid w:val="7CC37FA4"/>
    <w:rsid w:val="7D78421F"/>
    <w:rsid w:val="7E167D7D"/>
    <w:rsid w:val="7E3478FA"/>
    <w:rsid w:val="7EED79F6"/>
    <w:rsid w:val="7FC83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keepLines/>
      <w:outlineLvl w:val="0"/>
    </w:pPr>
    <w:rPr>
      <w:rFonts w:eastAsia="方正仿宋_GBK" w:cs="方正仿宋_GBK"/>
      <w:b/>
      <w:kern w:val="44"/>
      <w:sz w:val="32"/>
      <w:szCs w:val="32"/>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0"/>
    <w:pPr>
      <w:spacing w:after="120"/>
    </w:pPr>
    <w:rPr>
      <w:rFonts w:ascii="Times New Roman" w:hAnsi="Times New Roman" w:eastAsia="宋体" w:cs="Times New Roman"/>
      <w:szCs w:val="24"/>
    </w:rPr>
  </w:style>
  <w:style w:type="paragraph" w:styleId="5">
    <w:name w:val="toc 7"/>
    <w:basedOn w:val="1"/>
    <w:next w:val="1"/>
    <w:unhideWhenUsed/>
    <w:qFormat/>
    <w:uiPriority w:val="39"/>
    <w:pPr>
      <w:ind w:left="2520" w:leftChars="1200"/>
    </w:pPr>
  </w:style>
  <w:style w:type="paragraph" w:styleId="6">
    <w:name w:val="Document Map"/>
    <w:basedOn w:val="1"/>
    <w:link w:val="31"/>
    <w:unhideWhenUsed/>
    <w:qFormat/>
    <w:uiPriority w:val="99"/>
    <w:rPr>
      <w:rFonts w:ascii="宋体" w:eastAsia="宋体"/>
      <w:sz w:val="18"/>
      <w:szCs w:val="18"/>
    </w:rPr>
  </w:style>
  <w:style w:type="paragraph" w:styleId="7">
    <w:name w:val="Body Text 3"/>
    <w:basedOn w:val="1"/>
    <w:qFormat/>
    <w:uiPriority w:val="99"/>
    <w:pPr>
      <w:widowControl/>
      <w:jc w:val="center"/>
    </w:pPr>
    <w:rPr>
      <w:rFonts w:hAnsi="Symbol"/>
      <w:sz w:val="10"/>
      <w:szCs w:val="10"/>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0"/>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Subtitle"/>
    <w:basedOn w:val="1"/>
    <w:next w:val="1"/>
    <w:qFormat/>
    <w:uiPriority w:val="0"/>
    <w:rPr>
      <w:sz w:val="28"/>
    </w:r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4">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5">
    <w:name w:val="标题 2 Char"/>
    <w:basedOn w:val="22"/>
    <w:link w:val="4"/>
    <w:qFormat/>
    <w:uiPriority w:val="0"/>
    <w:rPr>
      <w:rFonts w:ascii="Arial" w:hAnsi="Arial" w:eastAsia="黑体" w:cs="Times New Roman"/>
      <w:b/>
      <w:bCs/>
      <w:sz w:val="32"/>
      <w:szCs w:val="32"/>
    </w:rPr>
  </w:style>
  <w:style w:type="character" w:customStyle="1" w:styleId="26">
    <w:name w:val="正文文本 Char"/>
    <w:basedOn w:val="22"/>
    <w:link w:val="2"/>
    <w:qFormat/>
    <w:uiPriority w:val="0"/>
    <w:rPr>
      <w:rFonts w:ascii="Times New Roman" w:hAnsi="Times New Roman" w:eastAsia="宋体" w:cs="Times New Roman"/>
      <w:szCs w:val="24"/>
    </w:rPr>
  </w:style>
  <w:style w:type="character" w:customStyle="1" w:styleId="27">
    <w:name w:val="页脚 Char"/>
    <w:basedOn w:val="22"/>
    <w:link w:val="12"/>
    <w:qFormat/>
    <w:uiPriority w:val="99"/>
    <w:rPr>
      <w:sz w:val="18"/>
      <w:szCs w:val="18"/>
    </w:rPr>
  </w:style>
  <w:style w:type="paragraph" w:customStyle="1" w:styleId="28">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9">
    <w:name w:val="页眉 Char"/>
    <w:basedOn w:val="22"/>
    <w:link w:val="13"/>
    <w:semiHidden/>
    <w:qFormat/>
    <w:uiPriority w:val="99"/>
    <w:rPr>
      <w:kern w:val="2"/>
      <w:sz w:val="18"/>
      <w:szCs w:val="18"/>
    </w:rPr>
  </w:style>
  <w:style w:type="character" w:customStyle="1" w:styleId="30">
    <w:name w:val="批注框文本 Char"/>
    <w:basedOn w:val="22"/>
    <w:link w:val="11"/>
    <w:semiHidden/>
    <w:qFormat/>
    <w:uiPriority w:val="99"/>
    <w:rPr>
      <w:kern w:val="2"/>
      <w:sz w:val="18"/>
      <w:szCs w:val="18"/>
    </w:rPr>
  </w:style>
  <w:style w:type="character" w:customStyle="1" w:styleId="31">
    <w:name w:val="文档结构图 Char"/>
    <w:basedOn w:val="22"/>
    <w:link w:val="6"/>
    <w:semiHidden/>
    <w:qFormat/>
    <w:uiPriority w:val="99"/>
    <w:rPr>
      <w:rFonts w:ascii="宋体" w:eastAsia="宋体"/>
      <w:kern w:val="2"/>
      <w:sz w:val="18"/>
      <w:szCs w:val="18"/>
    </w:rPr>
  </w:style>
  <w:style w:type="character" w:customStyle="1" w:styleId="32">
    <w:name w:val="font61"/>
    <w:basedOn w:val="22"/>
    <w:qFormat/>
    <w:uiPriority w:val="0"/>
    <w:rPr>
      <w:rFonts w:hint="eastAsia" w:ascii="宋体" w:hAnsi="宋体" w:eastAsia="宋体" w:cs="宋体"/>
      <w:color w:val="000000"/>
      <w:sz w:val="24"/>
      <w:szCs w:val="24"/>
      <w:u w:val="none"/>
    </w:rPr>
  </w:style>
  <w:style w:type="character" w:customStyle="1" w:styleId="33">
    <w:name w:val="font31"/>
    <w:basedOn w:val="22"/>
    <w:qFormat/>
    <w:uiPriority w:val="0"/>
    <w:rPr>
      <w:rFonts w:hint="eastAsia" w:ascii="Microsoft JhengHei" w:hAnsi="Microsoft JhengHei" w:eastAsia="Microsoft JhengHei" w:cs="Microsoft JhengHei"/>
      <w:color w:val="000000"/>
      <w:sz w:val="24"/>
      <w:szCs w:val="24"/>
      <w:u w:val="none"/>
    </w:rPr>
  </w:style>
  <w:style w:type="paragraph" w:customStyle="1" w:styleId="34">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5">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6">
    <w:name w:val="font01"/>
    <w:basedOn w:val="22"/>
    <w:qFormat/>
    <w:uiPriority w:val="0"/>
    <w:rPr>
      <w:rFonts w:hint="eastAsia" w:ascii="宋体" w:hAnsi="宋体" w:eastAsia="宋体" w:cs="宋体"/>
      <w:color w:val="000000"/>
      <w:sz w:val="18"/>
      <w:szCs w:val="18"/>
      <w:u w:val="none"/>
    </w:rPr>
  </w:style>
  <w:style w:type="paragraph" w:customStyle="1" w:styleId="37">
    <w:name w:val="16表格居中"/>
    <w:basedOn w:val="1"/>
    <w:qFormat/>
    <w:uiPriority w:val="0"/>
    <w:pPr>
      <w:autoSpaceDE w:val="0"/>
      <w:autoSpaceDN w:val="0"/>
      <w:adjustRightInd w:val="0"/>
      <w:spacing w:line="400" w:lineRule="atLeast"/>
      <w:jc w:val="center"/>
    </w:pPr>
    <w:rPr>
      <w:rFonts w:ascii="宋体" w:hAnsi="宋体" w:eastAsia="方正仿宋简体" w:cs="Times New Roman"/>
      <w:b/>
      <w:color w:val="000000"/>
      <w:kern w:val="0"/>
      <w:szCs w:val="21"/>
      <w:lang w:val="zh-CN"/>
    </w:rPr>
  </w:style>
  <w:style w:type="paragraph" w:customStyle="1" w:styleId="38">
    <w:name w:val="17表格缩进"/>
    <w:basedOn w:val="1"/>
    <w:qFormat/>
    <w:uiPriority w:val="0"/>
    <w:pPr>
      <w:adjustRightInd w:val="0"/>
      <w:snapToGrid w:val="0"/>
      <w:spacing w:line="400" w:lineRule="atLeast"/>
      <w:ind w:left="50" w:leftChars="50" w:right="50" w:rightChars="50" w:firstLine="200" w:firstLineChars="200"/>
    </w:pPr>
    <w:rPr>
      <w:rFonts w:ascii="Times New Roman" w:hAnsi="Times New Roman" w:eastAsia="方正仿宋简体" w:cs="Times New Roman"/>
      <w:b/>
      <w:color w:val="000000"/>
      <w:kern w:val="0"/>
      <w:szCs w:val="21"/>
      <w:lang w:val="zh-CN"/>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Default"/>
    <w:next w:val="1"/>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customStyle="1" w:styleId="41">
    <w:name w:val="标题 1 Char"/>
    <w:link w:val="3"/>
    <w:qFormat/>
    <w:uiPriority w:val="9"/>
    <w:rPr>
      <w:rFonts w:eastAsia="方正仿宋_GBK" w:cs="方正仿宋_GBK"/>
      <w:b/>
      <w:kern w:val="44"/>
      <w:sz w:val="32"/>
      <w:szCs w:val="32"/>
    </w:rPr>
  </w:style>
  <w:style w:type="paragraph" w:customStyle="1" w:styleId="42">
    <w:name w:val="Table Paragraph"/>
    <w:basedOn w:val="1"/>
    <w:qFormat/>
    <w:uiPriority w:val="1"/>
    <w:rPr>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53</Pages>
  <Words>19957</Words>
  <Characters>20736</Characters>
  <Lines>114</Lines>
  <Paragraphs>32</Paragraphs>
  <TotalTime>1</TotalTime>
  <ScaleCrop>false</ScaleCrop>
  <LinksUpToDate>false</LinksUpToDate>
  <CharactersWithSpaces>21797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WPS_1541930150</cp:lastModifiedBy>
  <cp:lastPrinted>2022-06-08T00:26:00Z</cp:lastPrinted>
  <dcterms:modified xsi:type="dcterms:W3CDTF">2022-06-10T00:53:30Z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D9BD26F65B454EEE8C714C8C02594070</vt:lpwstr>
  </property>
</Properties>
</file>