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ascii="方正仿宋_GBK" w:hAnsi="方正仿宋_GBK" w:eastAsia="方正仿宋_GBK" w:cs="方正仿宋_GBK"/>
          <w:bCs/>
          <w:sz w:val="40"/>
          <w:szCs w:val="40"/>
        </w:rPr>
      </w:pPr>
      <w:r>
        <w:rPr>
          <w:rFonts w:hint="eastAsia" w:ascii="方正仿宋_GBK" w:hAnsi="方正仿宋_GBK" w:eastAsia="方正仿宋_GBK" w:cs="方正仿宋_GBK"/>
          <w:bCs/>
          <w:kern w:val="0"/>
          <w:sz w:val="40"/>
          <w:szCs w:val="40"/>
        </w:rPr>
        <w:t>项目编号：</w:t>
      </w:r>
      <w:r>
        <w:rPr>
          <w:rFonts w:hint="eastAsia" w:ascii="方正仿宋_GBK" w:hAnsi="方正仿宋_GBK" w:eastAsia="方正仿宋_GBK" w:cs="方正仿宋_GBK"/>
          <w:bCs/>
          <w:sz w:val="40"/>
          <w:szCs w:val="40"/>
        </w:rPr>
        <w:t>SCZJDL〔202</w:t>
      </w:r>
      <w:r>
        <w:rPr>
          <w:rFonts w:hint="eastAsia" w:ascii="方正仿宋_GBK" w:hAnsi="方正仿宋_GBK" w:eastAsia="方正仿宋_GBK" w:cs="方正仿宋_GBK"/>
          <w:bCs/>
          <w:sz w:val="40"/>
          <w:szCs w:val="40"/>
          <w:lang w:val="en-US" w:eastAsia="zh-CN"/>
        </w:rPr>
        <w:t>3</w:t>
      </w:r>
      <w:r>
        <w:rPr>
          <w:rFonts w:hint="eastAsia" w:ascii="方正仿宋_GBK" w:hAnsi="方正仿宋_GBK" w:eastAsia="方正仿宋_GBK" w:cs="方正仿宋_GBK"/>
          <w:bCs/>
          <w:sz w:val="40"/>
          <w:szCs w:val="40"/>
        </w:rPr>
        <w:t>〕</w:t>
      </w:r>
      <w:r>
        <w:rPr>
          <w:rFonts w:hint="eastAsia" w:ascii="方正仿宋_GBK" w:hAnsi="方正仿宋_GBK" w:eastAsia="方正仿宋_GBK" w:cs="方正仿宋_GBK"/>
          <w:bCs/>
          <w:sz w:val="40"/>
          <w:szCs w:val="40"/>
          <w:lang w:val="en-US" w:eastAsia="zh-CN"/>
        </w:rPr>
        <w:t>99</w:t>
      </w:r>
      <w:r>
        <w:rPr>
          <w:rFonts w:hint="eastAsia" w:ascii="方正仿宋_GBK" w:hAnsi="方正仿宋_GBK" w:eastAsia="方正仿宋_GBK" w:cs="方正仿宋_GBK"/>
          <w:bCs/>
          <w:sz w:val="40"/>
          <w:szCs w:val="40"/>
        </w:rPr>
        <w:t>号</w:t>
      </w:r>
    </w:p>
    <w:p>
      <w:pPr>
        <w:spacing w:line="360" w:lineRule="auto"/>
        <w:jc w:val="center"/>
        <w:rPr>
          <w:rFonts w:hint="eastAsia" w:ascii="仿宋" w:hAnsi="仿宋" w:eastAsia="仿宋" w:cs="仿宋"/>
          <w:sz w:val="40"/>
          <w:szCs w:val="48"/>
          <w:lang w:val="en-US" w:eastAsia="zh-CN"/>
        </w:rPr>
      </w:pPr>
      <w:r>
        <w:rPr>
          <w:rFonts w:hint="eastAsia" w:ascii="仿宋" w:hAnsi="仿宋" w:eastAsia="仿宋" w:cs="仿宋"/>
          <w:sz w:val="40"/>
          <w:szCs w:val="48"/>
          <w:lang w:val="en-US" w:eastAsia="zh-CN"/>
        </w:rPr>
        <w:t>巴中市公安局业务技术用房病症石材治理</w:t>
      </w:r>
    </w:p>
    <w:p>
      <w:pPr>
        <w:spacing w:line="360" w:lineRule="auto"/>
        <w:jc w:val="center"/>
        <w:rPr>
          <w:rFonts w:hint="eastAsia" w:ascii="仿宋" w:hAnsi="仿宋" w:eastAsia="仿宋" w:cs="仿宋"/>
          <w:sz w:val="40"/>
          <w:szCs w:val="48"/>
          <w:lang w:val="en-US" w:eastAsia="zh-CN"/>
        </w:rPr>
      </w:pPr>
      <w:r>
        <w:rPr>
          <w:rFonts w:hint="eastAsia" w:ascii="仿宋" w:hAnsi="仿宋" w:eastAsia="仿宋" w:cs="仿宋"/>
          <w:sz w:val="40"/>
          <w:szCs w:val="48"/>
          <w:lang w:val="en-US" w:eastAsia="zh-CN"/>
        </w:rPr>
        <w:t>及研磨结晶服务项目</w:t>
      </w:r>
    </w:p>
    <w:p>
      <w:pPr>
        <w:spacing w:line="360" w:lineRule="auto"/>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9"/>
        <w:rPr>
          <w:rFonts w:ascii="方正仿宋_GBK" w:hAnsi="方正仿宋_GBK" w:eastAsia="方正仿宋_GBK" w:cs="方正仿宋_GBK"/>
          <w:b/>
          <w:sz w:val="72"/>
          <w:szCs w:val="72"/>
        </w:rPr>
      </w:pPr>
    </w:p>
    <w:p>
      <w:pPr>
        <w:rPr>
          <w:rFonts w:ascii="方正仿宋_GBK" w:hAnsi="方正仿宋_GBK" w:eastAsia="方正仿宋_GBK" w:cs="方正仿宋_GBK"/>
          <w:b/>
          <w:sz w:val="72"/>
          <w:szCs w:val="72"/>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巴中市公安局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sectPr>
          <w:headerReference r:id="rId3" w:type="default"/>
          <w:pgSz w:w="11906" w:h="16838"/>
          <w:pgMar w:top="1440" w:right="1803" w:bottom="1440" w:left="1803" w:header="851" w:footer="992" w:gutter="0"/>
          <w:cols w:space="720" w:num="1"/>
          <w:docGrid w:type="lines" w:linePitch="312" w:charSpace="0"/>
        </w:sect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12</w:t>
      </w:r>
      <w:r>
        <w:rPr>
          <w:rFonts w:hint="eastAsia" w:ascii="方正仿宋_GBK" w:hAnsi="方正仿宋_GBK" w:eastAsia="方正仿宋_GBK" w:cs="方正仿宋_GBK"/>
          <w:bCs/>
          <w:sz w:val="32"/>
          <w:szCs w:val="32"/>
        </w:rPr>
        <w:t>月</w:t>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NumType w:start="1"/>
          <w:cols w:space="720" w:num="1"/>
          <w:docGrid w:type="lines" w:linePitch="312" w:charSpace="0"/>
        </w:sectPr>
      </w:pPr>
    </w:p>
    <w:sdt>
      <w:sdtPr>
        <w:rPr>
          <w:rFonts w:hint="eastAsia" w:ascii="方正仿宋_GBK" w:hAnsi="方正仿宋_GBK" w:eastAsia="方正仿宋_GBK" w:cs="方正仿宋_GBK"/>
          <w:sz w:val="44"/>
          <w:szCs w:val="44"/>
        </w:rPr>
        <w:id w:val="147478925"/>
        <w:docPartObj>
          <w:docPartGallery w:val="Table of Contents"/>
          <w:docPartUnique/>
        </w:docPartObj>
      </w:sdtPr>
      <w:sdtEndPr>
        <w:rPr>
          <w:rFonts w:hint="eastAsia" w:ascii="方正仿宋_GBK" w:hAnsi="方正仿宋_GBK" w:eastAsia="方正仿宋_GBK" w:cs="方正仿宋_GBK"/>
          <w:sz w:val="28"/>
          <w:szCs w:val="28"/>
        </w:rPr>
      </w:sdtEndPr>
      <w:sdtContent>
        <w:p>
          <w:pPr>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目录</w:t>
          </w:r>
        </w:p>
        <w:p>
          <w:pPr>
            <w:pStyle w:val="16"/>
            <w:tabs>
              <w:tab w:val="right" w:leader="dot" w:pos="8306"/>
            </w:tabs>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fldChar w:fldCharType="begin"/>
          </w:r>
          <w:r>
            <w:instrText xml:space="preserve"> HYPERLINK \l "_Toc26089" </w:instrText>
          </w:r>
          <w: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_Toc26089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"_Toc19128" </w:instrText>
          </w:r>
          <w: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_Toc19128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"_Toc19098" </w:instrText>
          </w:r>
          <w:r>
            <w:fldChar w:fldCharType="separate"/>
          </w:r>
          <w:r>
            <w:rPr>
              <w:rFonts w:hint="eastAsia" w:ascii="方正仿宋_GBK" w:hAnsi="方正仿宋_GBK" w:eastAsia="方正仿宋_GBK" w:cs="方正仿宋_GBK"/>
              <w:sz w:val="28"/>
              <w:szCs w:val="28"/>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_Toc19098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"_Toc26097" </w:instrText>
          </w:r>
          <w:r>
            <w:fldChar w:fldCharType="separate"/>
          </w:r>
          <w:r>
            <w:rPr>
              <w:rFonts w:hint="eastAsia" w:ascii="方正仿宋_GBK" w:hAnsi="方正仿宋_GBK" w:eastAsia="方正仿宋_GBK" w:cs="方正仿宋_GBK"/>
              <w:sz w:val="28"/>
              <w:szCs w:val="28"/>
            </w:rPr>
            <w:t>四、响应文件要求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_Toc26097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"_Toc4386" </w:instrText>
          </w:r>
          <w:r>
            <w:fldChar w:fldCharType="separate"/>
          </w:r>
          <w:r>
            <w:rPr>
              <w:rFonts w:hint="eastAsia" w:ascii="方正仿宋_GBK" w:hAnsi="方正仿宋_GBK" w:eastAsia="方正仿宋_GBK" w:cs="方正仿宋_GBK"/>
              <w:sz w:val="28"/>
              <w:szCs w:val="28"/>
            </w:rPr>
            <w:t>五、响应文件格式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_Toc4386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"_Toc27996" </w:instrText>
          </w:r>
          <w:r>
            <w:fldChar w:fldCharType="separate"/>
          </w:r>
          <w:r>
            <w:rPr>
              <w:rFonts w:hint="eastAsia" w:ascii="方正仿宋_GBK" w:hAnsi="方正仿宋_GBK" w:eastAsia="方正仿宋_GBK" w:cs="方正仿宋_GBK"/>
              <w:sz w:val="28"/>
              <w:szCs w:val="28"/>
            </w:rPr>
            <w:t>六、确定成交供应商的原则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_Toc27996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"_Toc32506" </w:instrText>
          </w:r>
          <w:r>
            <w:fldChar w:fldCharType="separate"/>
          </w:r>
          <w:r>
            <w:rPr>
              <w:rFonts w:hint="eastAsia" w:ascii="方正仿宋_GBK" w:hAnsi="方正仿宋_GBK" w:eastAsia="方正仿宋_GBK" w:cs="方正仿宋_GBK"/>
              <w:sz w:val="28"/>
              <w:szCs w:val="28"/>
            </w:rPr>
            <w:t>七、文件获取方式、时间、地点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_Toc32506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"_Toc22573" </w:instrText>
          </w:r>
          <w:r>
            <w:fldChar w:fldCharType="separate"/>
          </w:r>
          <w:r>
            <w:rPr>
              <w:rFonts w:hint="eastAsia" w:ascii="方正仿宋_GBK" w:hAnsi="方正仿宋_GBK" w:eastAsia="方正仿宋_GBK" w:cs="方正仿宋_GBK"/>
              <w:sz w:val="28"/>
              <w:szCs w:val="28"/>
            </w:rPr>
            <w:t>八、递交响应文件截止时间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_Toc22573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"_Toc24476" </w:instrText>
          </w:r>
          <w:r>
            <w:fldChar w:fldCharType="separate"/>
          </w:r>
          <w:r>
            <w:rPr>
              <w:rFonts w:hint="eastAsia" w:ascii="方正仿宋_GBK" w:hAnsi="方正仿宋_GBK" w:eastAsia="方正仿宋_GBK" w:cs="方正仿宋_GBK"/>
              <w:sz w:val="28"/>
              <w:szCs w:val="28"/>
            </w:rPr>
            <w:t>九、递交响应文件地点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_Toc24476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"_Toc6315" </w:instrText>
          </w:r>
          <w:r>
            <w:fldChar w:fldCharType="separate"/>
          </w:r>
          <w:r>
            <w:rPr>
              <w:rFonts w:hint="eastAsia" w:ascii="方正仿宋_GBK" w:hAnsi="方正仿宋_GBK" w:eastAsia="方正仿宋_GBK" w:cs="方正仿宋_GBK"/>
              <w:sz w:val="28"/>
              <w:szCs w:val="28"/>
            </w:rPr>
            <w:t>十、代理服务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_Toc6315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"_Toc9760" </w:instrText>
          </w:r>
          <w:r>
            <w:fldChar w:fldCharType="separate"/>
          </w:r>
          <w:r>
            <w:rPr>
              <w:rFonts w:hint="eastAsia" w:ascii="方正仿宋_GBK" w:hAnsi="方正仿宋_GBK" w:eastAsia="方正仿宋_GBK" w:cs="方正仿宋_GBK"/>
              <w:sz w:val="28"/>
              <w:szCs w:val="28"/>
            </w:rPr>
            <w:t>十一、联系方式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_Toc9760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"_Toc8137" </w:instrText>
          </w:r>
          <w:r>
            <w:fldChar w:fldCharType="separate"/>
          </w:r>
          <w:r>
            <w:rPr>
              <w:rFonts w:hint="eastAsia" w:ascii="方正仿宋_GBK" w:hAnsi="方正仿宋_GBK" w:eastAsia="方正仿宋_GBK" w:cs="方正仿宋_GBK"/>
              <w:sz w:val="28"/>
              <w:szCs w:val="28"/>
            </w:rPr>
            <w:t>十二、询问、质疑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_Toc8137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rPr>
              <w:rFonts w:ascii="方正仿宋_GBK" w:hAnsi="方正仿宋_GBK" w:eastAsia="方正仿宋_GBK" w:cs="方正仿宋_GBK"/>
              <w:sz w:val="28"/>
              <w:szCs w:val="28"/>
            </w:rPr>
          </w:pPr>
          <w:r>
            <w:fldChar w:fldCharType="begin"/>
          </w:r>
          <w:r>
            <w:instrText xml:space="preserve"> HYPERLINK \l "_Toc10466" </w:instrText>
          </w:r>
          <w:r>
            <w:fldChar w:fldCharType="separate"/>
          </w:r>
          <w:r>
            <w:rPr>
              <w:rFonts w:hint="eastAsia" w:ascii="方正仿宋_GBK" w:hAnsi="方正仿宋_GBK" w:eastAsia="方正仿宋_GBK" w:cs="方正仿宋_GBK"/>
              <w:sz w:val="28"/>
              <w:szCs w:val="28"/>
            </w:rPr>
            <w:t>十三、保证金及履约保证金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_Toc10466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6"/>
            <w:tabs>
              <w:tab w:val="right" w:leader="dot" w:pos="8306"/>
            </w:tabs>
          </w:pPr>
          <w:r>
            <w:fldChar w:fldCharType="begin"/>
          </w:r>
          <w:r>
            <w:instrText xml:space="preserve"> HYPERLINK \l "_Toc22218" </w:instrText>
          </w:r>
          <w:r>
            <w:fldChar w:fldCharType="separate"/>
          </w:r>
          <w:r>
            <w:rPr>
              <w:rFonts w:hint="eastAsia" w:ascii="方正仿宋_GBK" w:hAnsi="方正仿宋_GBK" w:eastAsia="方正仿宋_GBK" w:cs="方正仿宋_GBK"/>
              <w:sz w:val="28"/>
              <w:szCs w:val="28"/>
            </w:rPr>
            <w:t>十四、合同草案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_Toc22218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spacing w:line="5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val="en-US" w:eastAsia="zh-CN"/>
        </w:rPr>
        <w:t>巴中市公安局</w:t>
      </w:r>
      <w:r>
        <w:rPr>
          <w:rFonts w:hint="eastAsia" w:ascii="方正仿宋_GBK" w:hAnsi="方正仿宋_GBK" w:eastAsia="方正仿宋_GBK" w:cs="方正仿宋_GBK"/>
          <w:sz w:val="28"/>
          <w:szCs w:val="28"/>
        </w:rPr>
        <w:t>拟对</w:t>
      </w:r>
      <w:r>
        <w:rPr>
          <w:rFonts w:hint="eastAsia" w:ascii="仿宋" w:hAnsi="仿宋" w:eastAsia="仿宋" w:cs="仿宋"/>
          <w:sz w:val="28"/>
          <w:szCs w:val="36"/>
          <w:u w:val="single"/>
          <w:lang w:val="en-US" w:eastAsia="zh-CN"/>
        </w:rPr>
        <w:t>巴中市公安局业务技术用房病症石材治理及研磨结晶服务项目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询价方式</w:t>
      </w:r>
      <w:r>
        <w:rPr>
          <w:rFonts w:hint="eastAsia" w:ascii="方正仿宋_GBK" w:hAnsi="方正仿宋_GBK" w:eastAsia="方正仿宋_GBK" w:cs="方正仿宋_GBK"/>
          <w:sz w:val="28"/>
          <w:szCs w:val="28"/>
        </w:rPr>
        <w:t>进行采购，特邀请符合本次采购要求的供应商参加报价。</w:t>
      </w:r>
    </w:p>
    <w:p>
      <w:pPr>
        <w:pStyle w:val="3"/>
        <w:rPr>
          <w:rFonts w:ascii="方正仿宋_GBK" w:hAnsi="方正仿宋_GBK"/>
          <w:sz w:val="28"/>
          <w:szCs w:val="28"/>
        </w:rPr>
      </w:pPr>
      <w:bookmarkStart w:id="0" w:name="_Toc26089"/>
      <w:bookmarkStart w:id="1" w:name="_Toc8806"/>
      <w:bookmarkStart w:id="2" w:name="_Toc24469"/>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99</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w:t>
      </w:r>
      <w:r>
        <w:rPr>
          <w:rFonts w:hint="eastAsia" w:ascii="仿宋" w:hAnsi="仿宋" w:eastAsia="仿宋" w:cs="仿宋"/>
          <w:sz w:val="28"/>
          <w:szCs w:val="36"/>
          <w:u w:val="single"/>
          <w:lang w:val="en-US" w:eastAsia="zh-CN"/>
        </w:rPr>
        <w:t>巴中市公安局业务技术用房病症石材治理及研磨结晶服务项目</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w:t>
      </w:r>
      <w:r>
        <w:rPr>
          <w:rFonts w:hint="eastAsia" w:ascii="方正仿宋_GBK" w:hAnsi="方正仿宋_GBK" w:eastAsia="方正仿宋_GBK" w:cs="方正仿宋_GBK"/>
          <w:sz w:val="28"/>
          <w:szCs w:val="28"/>
          <w:u w:val="single"/>
        </w:rPr>
        <w:t>专门</w:t>
      </w:r>
      <w:r>
        <w:rPr>
          <w:rFonts w:hint="eastAsia" w:ascii="方正仿宋_GBK" w:hAnsi="方正仿宋_GBK" w:eastAsia="方正仿宋_GBK" w:cs="方正仿宋_GBK"/>
          <w:sz w:val="28"/>
          <w:szCs w:val="28"/>
        </w:rPr>
        <w:t>面向中小企业</w:t>
      </w:r>
      <w:r>
        <w:rPr>
          <w:rFonts w:hint="eastAsia" w:ascii="方正仿宋_GBK" w:hAnsi="方正仿宋_GBK" w:eastAsia="方正仿宋_GBK" w:cs="方正仿宋_GBK"/>
          <w:sz w:val="28"/>
          <w:szCs w:val="28"/>
          <w:lang w:eastAsia="zh-CN"/>
        </w:rPr>
        <w:t>采购</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w:t>
      </w:r>
      <w:r>
        <w:rPr>
          <w:rFonts w:hint="eastAsia" w:ascii="方正仿宋_GBK" w:hAnsi="方正仿宋_GBK" w:eastAsia="方正仿宋_GBK" w:cs="方正仿宋_GBK"/>
          <w:sz w:val="28"/>
          <w:szCs w:val="28"/>
          <w:lang w:val="en-US" w:eastAsia="zh-CN"/>
        </w:rPr>
        <w:t>巴中市公安局</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6、公告方式：本项目采购公告在四川振嘉工程招标代理有限公司网站发布。</w:t>
      </w:r>
    </w:p>
    <w:p>
      <w:pPr>
        <w:pStyle w:val="3"/>
        <w:rPr>
          <w:rFonts w:ascii="方正仿宋_GBK" w:hAnsi="方正仿宋_GBK"/>
          <w:sz w:val="28"/>
          <w:szCs w:val="28"/>
        </w:rPr>
      </w:pPr>
      <w:bookmarkStart w:id="3" w:name="_Toc9111"/>
      <w:bookmarkStart w:id="4" w:name="_Toc11689"/>
      <w:bookmarkStart w:id="5" w:name="_Toc19128"/>
      <w:r>
        <w:rPr>
          <w:rFonts w:hint="eastAsia" w:ascii="方正仿宋_GBK" w:hAnsi="方正仿宋_GBK"/>
          <w:sz w:val="28"/>
          <w:szCs w:val="28"/>
        </w:rPr>
        <w:t>二、资金情况</w:t>
      </w:r>
      <w:bookmarkEnd w:id="3"/>
      <w:bookmarkEnd w:id="4"/>
      <w:bookmarkEnd w:id="5"/>
    </w:p>
    <w:p>
      <w:pPr>
        <w:ind w:right="31" w:rightChars="15"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控制价210600.00</w:t>
      </w:r>
      <w:r>
        <w:rPr>
          <w:rFonts w:hint="eastAsia" w:ascii="方正仿宋_GBK" w:hAnsi="方正仿宋_GBK" w:eastAsia="方正仿宋_GBK" w:cs="方正仿宋_GBK"/>
          <w:color w:val="000000" w:themeColor="text1"/>
          <w:sz w:val="28"/>
          <w:szCs w:val="28"/>
          <w14:textFill>
            <w14:solidFill>
              <w14:schemeClr w14:val="tx1"/>
            </w14:solidFill>
          </w14:textFill>
        </w:rPr>
        <w:t>元</w:t>
      </w:r>
      <w:r>
        <w:rPr>
          <w:rFonts w:hint="eastAsia" w:ascii="方正仿宋_GBK" w:hAnsi="方正仿宋_GBK" w:eastAsia="方正仿宋_GBK" w:cs="方正仿宋_GBK"/>
          <w:kern w:val="0"/>
          <w:sz w:val="28"/>
          <w:szCs w:val="28"/>
        </w:rPr>
        <w:t>；</w:t>
      </w:r>
    </w:p>
    <w:p>
      <w:pPr>
        <w:pStyle w:val="3"/>
        <w:rPr>
          <w:rFonts w:ascii="方正仿宋_GBK" w:hAnsi="方正仿宋_GBK"/>
          <w:sz w:val="28"/>
          <w:szCs w:val="28"/>
        </w:rPr>
      </w:pPr>
      <w:bookmarkStart w:id="6" w:name="_Toc19098"/>
      <w:bookmarkStart w:id="7" w:name="_Toc16580"/>
      <w:bookmarkStart w:id="8" w:name="_Toc23227"/>
      <w:r>
        <w:rPr>
          <w:rFonts w:hint="eastAsia" w:ascii="方正仿宋_GBK" w:hAnsi="方正仿宋_GBK"/>
          <w:sz w:val="28"/>
          <w:szCs w:val="28"/>
        </w:rPr>
        <w:t>三、采购需求</w:t>
      </w:r>
      <w:bookmarkEnd w:id="6"/>
      <w:bookmarkEnd w:id="7"/>
      <w:bookmarkEnd w:id="8"/>
    </w:p>
    <w:p>
      <w:pPr>
        <w:pStyle w:val="4"/>
        <w:rPr>
          <w:rFonts w:hint="eastAsia"/>
          <w:sz w:val="28"/>
          <w:szCs w:val="28"/>
          <w:lang w:eastAsia="zh-CN"/>
        </w:rPr>
      </w:pPr>
      <w:bookmarkStart w:id="9" w:name="_Toc24269"/>
      <w:r>
        <w:rPr>
          <w:rFonts w:hint="eastAsia"/>
          <w:sz w:val="28"/>
          <w:szCs w:val="28"/>
          <w:lang w:eastAsia="zh-CN"/>
        </w:rPr>
        <w:t>（一）工程概况</w:t>
      </w:r>
    </w:p>
    <w:p>
      <w:pPr>
        <w:numPr>
          <w:ilvl w:val="0"/>
          <w:numId w:val="0"/>
        </w:numPr>
        <w:ind w:firstLine="560" w:firstLineChars="200"/>
        <w:rPr>
          <w:rFonts w:hint="default"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本项目为</w:t>
      </w:r>
      <w:r>
        <w:rPr>
          <w:rFonts w:hint="eastAsia" w:ascii="仿宋" w:hAnsi="仿宋" w:eastAsia="仿宋" w:cs="仿宋"/>
          <w:sz w:val="28"/>
          <w:szCs w:val="36"/>
          <w:u w:val="none"/>
          <w:lang w:val="en-US" w:eastAsia="zh-CN"/>
        </w:rPr>
        <w:t>巴中市公安局业务技术用房病症石材治理及研磨结晶服务，</w:t>
      </w:r>
      <w:r>
        <w:rPr>
          <w:rFonts w:hint="eastAsia" w:ascii="仿宋" w:hAnsi="仿宋" w:eastAsia="仿宋" w:cs="仿宋"/>
          <w:b w:val="0"/>
          <w:bCs w:val="0"/>
          <w:sz w:val="28"/>
          <w:szCs w:val="36"/>
          <w:lang w:val="en-US" w:eastAsia="zh-CN"/>
        </w:rPr>
        <w:t>所需施工面积为3510㎡。</w:t>
      </w:r>
    </w:p>
    <w:p>
      <w:pPr>
        <w:pStyle w:val="4"/>
        <w:rPr>
          <w:sz w:val="28"/>
          <w:szCs w:val="28"/>
        </w:rPr>
      </w:pPr>
      <w:r>
        <w:rPr>
          <w:rFonts w:hint="eastAsia"/>
          <w:sz w:val="28"/>
          <w:szCs w:val="28"/>
        </w:rPr>
        <w:t>（</w:t>
      </w:r>
      <w:r>
        <w:rPr>
          <w:rFonts w:hint="eastAsia"/>
          <w:sz w:val="28"/>
          <w:szCs w:val="28"/>
          <w:lang w:eastAsia="zh-CN"/>
        </w:rPr>
        <w:t>二</w:t>
      </w:r>
      <w:r>
        <w:rPr>
          <w:rFonts w:hint="eastAsia"/>
          <w:sz w:val="28"/>
          <w:szCs w:val="28"/>
        </w:rPr>
        <w:t>）技术、服务要求</w:t>
      </w:r>
      <w:bookmarkEnd w:id="9"/>
    </w:p>
    <w:p>
      <w:pPr>
        <w:numPr>
          <w:ilvl w:val="0"/>
          <w:numId w:val="0"/>
        </w:numPr>
        <w:ind w:firstLine="560" w:firstLineChars="200"/>
        <w:rPr>
          <w:rFonts w:hint="eastAsia" w:ascii="仿宋" w:hAnsi="仿宋" w:eastAsia="仿宋" w:cs="仿宋"/>
          <w:b w:val="0"/>
          <w:bCs w:val="0"/>
          <w:sz w:val="28"/>
          <w:szCs w:val="36"/>
          <w:lang w:val="en-US" w:eastAsia="zh-CN"/>
        </w:rPr>
      </w:pPr>
      <w:bookmarkStart w:id="10" w:name="_Toc26097"/>
      <w:bookmarkStart w:id="11" w:name="_Toc31196"/>
      <w:bookmarkStart w:id="12" w:name="_Toc8612"/>
      <w:r>
        <w:rPr>
          <w:rFonts w:hint="eastAsia" w:ascii="仿宋" w:hAnsi="仿宋" w:eastAsia="仿宋" w:cs="仿宋"/>
          <w:b w:val="0"/>
          <w:bCs w:val="0"/>
          <w:sz w:val="28"/>
          <w:szCs w:val="36"/>
          <w:lang w:val="en-US" w:eastAsia="zh-CN"/>
        </w:rPr>
        <w:t>1、石材表面无油迹、水迹、锈迹，色泽统一、润泽，无腐蚀，并与新石材相接近。</w:t>
      </w:r>
    </w:p>
    <w:p>
      <w:pPr>
        <w:numPr>
          <w:ilvl w:val="0"/>
          <w:numId w:val="0"/>
        </w:num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2、石材表面平整、无明显水波浪(标杆投影曲度差不大于15 度)、无划痕、无机械打磨磨痕、无损伤，手感细腻，具有防滑作用。</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3、石面开缝不得大于 1.5mm。缝口连接自然完美、胶质色相与石面无明显色差。</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4、石面拼缝处无半缝、无断缝、无黑缝。</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5、断裂修补处无明显色差、无色带、修补处跟大板光度一致。</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6、边线光亮、无毛边、无明显接头(靠墙边线未打磨宽度不超过10mm)。</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7、石面无直径 1mm 以上明显空洞、无断裂。</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8、整体石面手感细腻、油润、光亮、经营剔透。</w:t>
      </w:r>
    </w:p>
    <w:p>
      <w:p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9、整体石面测光仪测试平均亮度 85度以上。</w:t>
      </w:r>
    </w:p>
    <w:p>
      <w:pPr>
        <w:ind w:firstLine="562" w:firstLineChars="200"/>
        <w:rPr>
          <w:rFonts w:hint="eastAsia" w:ascii="方正仿宋_GBK" w:hAnsi="方正仿宋_GBK" w:eastAsia="方正仿宋_GBK" w:cs="方正仿宋_GBK"/>
          <w:b/>
          <w:bCs/>
          <w:color w:val="000000"/>
          <w:sz w:val="28"/>
          <w:szCs w:val="28"/>
          <w:lang w:val="en-US" w:eastAsia="zh-CN"/>
        </w:rPr>
      </w:pPr>
      <w:r>
        <w:rPr>
          <w:rFonts w:hint="eastAsia" w:ascii="仿宋" w:hAnsi="仿宋" w:eastAsia="仿宋" w:cs="仿宋"/>
          <w:b/>
          <w:bCs/>
          <w:sz w:val="28"/>
          <w:szCs w:val="36"/>
          <w:lang w:val="en-US" w:eastAsia="zh-CN"/>
        </w:rPr>
        <w:t>质量标准：</w:t>
      </w:r>
      <w:r>
        <w:rPr>
          <w:rFonts w:hint="eastAsia" w:ascii="仿宋" w:hAnsi="仿宋" w:eastAsia="仿宋" w:cs="仿宋"/>
          <w:b w:val="0"/>
          <w:bCs w:val="0"/>
          <w:sz w:val="28"/>
          <w:szCs w:val="36"/>
          <w:lang w:val="en-US" w:eastAsia="zh-CN"/>
        </w:rPr>
        <w:t>病症石材治理和研</w:t>
      </w:r>
      <w:r>
        <w:rPr>
          <w:rFonts w:hint="eastAsia" w:ascii="仿宋" w:hAnsi="仿宋" w:eastAsia="仿宋" w:cs="仿宋"/>
          <w:sz w:val="28"/>
          <w:szCs w:val="36"/>
          <w:lang w:val="en-US" w:eastAsia="zh-CN"/>
        </w:rPr>
        <w:t>磨结晶后</w:t>
      </w:r>
      <w:r>
        <w:rPr>
          <w:rFonts w:hint="eastAsia" w:ascii="仿宋" w:hAnsi="仿宋" w:eastAsia="仿宋" w:cs="仿宋"/>
          <w:sz w:val="28"/>
          <w:szCs w:val="28"/>
          <w:lang w:val="en-US" w:eastAsia="zh-CN"/>
        </w:rPr>
        <w:t>石材色泽基本一致、整体均匀，表面硬度增强，光洁明亮。</w:t>
      </w:r>
    </w:p>
    <w:p>
      <w:pPr>
        <w:ind w:firstLine="562" w:firstLineChars="200"/>
        <w:outlineLvl w:val="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四、商务要求</w:t>
      </w:r>
    </w:p>
    <w:p>
      <w:pPr>
        <w:spacing w:line="360" w:lineRule="auto"/>
        <w:ind w:firstLine="560" w:firstLineChars="200"/>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1.</w:t>
      </w:r>
      <w:r>
        <w:rPr>
          <w:rFonts w:hint="eastAsia" w:ascii="方正仿宋_GBK" w:hAnsi="方正仿宋_GBK" w:eastAsia="方正仿宋_GBK" w:cs="方正仿宋_GBK"/>
          <w:kern w:val="0"/>
          <w:sz w:val="28"/>
          <w:szCs w:val="28"/>
          <w:lang w:eastAsia="zh-CN"/>
        </w:rPr>
        <w:t>服务</w:t>
      </w:r>
      <w:r>
        <w:rPr>
          <w:rFonts w:hint="eastAsia" w:ascii="方正仿宋_GBK" w:hAnsi="方正仿宋_GBK" w:eastAsia="方正仿宋_GBK" w:cs="方正仿宋_GBK"/>
          <w:kern w:val="0"/>
          <w:sz w:val="28"/>
          <w:szCs w:val="28"/>
        </w:rPr>
        <w:t>时间及地点</w:t>
      </w:r>
      <w:r>
        <w:rPr>
          <w:rFonts w:hint="eastAsia" w:ascii="方正仿宋_GBK" w:hAnsi="方正仿宋_GBK" w:eastAsia="方正仿宋_GBK" w:cs="方正仿宋_GBK"/>
          <w:kern w:val="0"/>
          <w:sz w:val="28"/>
          <w:szCs w:val="28"/>
          <w:lang w:eastAsia="zh-CN"/>
        </w:rPr>
        <w:t>：</w:t>
      </w:r>
    </w:p>
    <w:p>
      <w:pPr>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kern w:val="0"/>
          <w:sz w:val="28"/>
          <w:szCs w:val="28"/>
        </w:rPr>
        <w:t>（1）</w:t>
      </w:r>
      <w:r>
        <w:rPr>
          <w:rFonts w:hint="eastAsia" w:ascii="方正仿宋_GBK" w:hAnsi="方正仿宋_GBK" w:eastAsia="方正仿宋_GBK" w:cs="方正仿宋_GBK"/>
          <w:kern w:val="0"/>
          <w:sz w:val="28"/>
          <w:szCs w:val="28"/>
          <w:lang w:eastAsia="zh-CN"/>
        </w:rPr>
        <w:t>服务</w:t>
      </w:r>
      <w:r>
        <w:rPr>
          <w:rFonts w:hint="eastAsia" w:ascii="方正仿宋_GBK" w:hAnsi="方正仿宋_GBK" w:eastAsia="方正仿宋_GBK" w:cs="方正仿宋_GBK"/>
          <w:kern w:val="0"/>
          <w:sz w:val="28"/>
          <w:szCs w:val="28"/>
        </w:rPr>
        <w:t>时间:</w:t>
      </w:r>
      <w:r>
        <w:rPr>
          <w:rFonts w:hint="eastAsia" w:ascii="方正仿宋_GBK" w:hAnsi="方正仿宋_GBK" w:eastAsia="方正仿宋_GBK" w:cs="方正仿宋_GBK"/>
          <w:color w:val="000000" w:themeColor="text1"/>
          <w:sz w:val="28"/>
          <w:szCs w:val="28"/>
          <w14:textFill>
            <w14:solidFill>
              <w14:schemeClr w14:val="tx1"/>
            </w14:solidFill>
          </w14:textFill>
        </w:rPr>
        <w:t>合同签订</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后</w:t>
      </w:r>
      <w:r>
        <w:rPr>
          <w:rFonts w:hint="eastAsia" w:ascii="方正仿宋_GBK" w:hAnsi="方正仿宋_GBK" w:eastAsia="方正仿宋_GBK" w:cs="方正仿宋_GBK"/>
          <w:color w:val="auto"/>
          <w:sz w:val="28"/>
          <w:szCs w:val="28"/>
          <w:lang w:val="en-US" w:eastAsia="zh-CN"/>
        </w:rPr>
        <w:t>20个日历天</w:t>
      </w:r>
      <w:r>
        <w:rPr>
          <w:rFonts w:hint="eastAsia" w:ascii="方正仿宋_GBK" w:hAnsi="方正仿宋_GBK" w:eastAsia="方正仿宋_GBK" w:cs="方正仿宋_GBK"/>
          <w:color w:val="000000" w:themeColor="text1"/>
          <w:sz w:val="28"/>
          <w:szCs w:val="28"/>
          <w14:textFill>
            <w14:solidFill>
              <w14:schemeClr w14:val="tx1"/>
            </w14:solidFill>
          </w14:textFill>
        </w:rPr>
        <w:t>内完成</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w:t>
      </w:r>
      <w:r>
        <w:rPr>
          <w:rFonts w:hint="eastAsia" w:ascii="方正仿宋_GBK" w:hAnsi="方正仿宋_GBK" w:eastAsia="方正仿宋_GBK" w:cs="方正仿宋_GBK"/>
          <w:kern w:val="0"/>
          <w:sz w:val="28"/>
          <w:szCs w:val="28"/>
          <w:lang w:eastAsia="zh-CN"/>
        </w:rPr>
        <w:t>服务</w:t>
      </w:r>
      <w:r>
        <w:rPr>
          <w:rFonts w:hint="eastAsia" w:ascii="方正仿宋_GBK" w:hAnsi="方正仿宋_GBK" w:eastAsia="方正仿宋_GBK" w:cs="方正仿宋_GBK"/>
          <w:kern w:val="0"/>
          <w:sz w:val="28"/>
          <w:szCs w:val="28"/>
        </w:rPr>
        <w:t>地点:采购人指定地点</w:t>
      </w:r>
    </w:p>
    <w:p>
      <w:pPr>
        <w:spacing w:line="360" w:lineRule="auto"/>
        <w:ind w:firstLine="560" w:firstLineChars="200"/>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2.报价要求</w:t>
      </w:r>
      <w:r>
        <w:rPr>
          <w:rFonts w:hint="eastAsia" w:ascii="方正仿宋_GBK" w:hAnsi="方正仿宋_GBK" w:eastAsia="方正仿宋_GBK" w:cs="方正仿宋_GBK"/>
          <w:kern w:val="0"/>
          <w:sz w:val="28"/>
          <w:szCs w:val="28"/>
          <w:lang w:eastAsia="zh-CN"/>
        </w:rPr>
        <w:t>：</w:t>
      </w:r>
    </w:p>
    <w:p>
      <w:pPr>
        <w:spacing w:line="360" w:lineRule="auto"/>
        <w:ind w:firstLine="560" w:firstLineChars="200"/>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此项目报价应是最终验收合格后的总价，其总价即为履行合同的固定价格。</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3</w:t>
      </w:r>
      <w:r>
        <w:rPr>
          <w:rFonts w:hint="eastAsia" w:ascii="方正仿宋_GBK" w:hAnsi="方正仿宋_GBK" w:eastAsia="方正仿宋_GBK" w:cs="方正仿宋_GBK"/>
          <w:kern w:val="0"/>
          <w:sz w:val="28"/>
          <w:szCs w:val="28"/>
        </w:rPr>
        <w:t>.付款方式：</w:t>
      </w:r>
    </w:p>
    <w:p>
      <w:pPr>
        <w:spacing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签订合同后预付合同总金额的</w:t>
      </w: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lang w:eastAsia="zh-CN"/>
        </w:rPr>
        <w:t>项目验收合格后</w:t>
      </w:r>
      <w:r>
        <w:rPr>
          <w:rFonts w:hint="eastAsia" w:ascii="方正仿宋_GBK" w:hAnsi="方正仿宋_GBK" w:eastAsia="方正仿宋_GBK" w:cs="方正仿宋_GBK"/>
          <w:kern w:val="0"/>
          <w:sz w:val="28"/>
          <w:szCs w:val="28"/>
          <w:lang w:val="en-US" w:eastAsia="zh-CN"/>
        </w:rPr>
        <w:t>5个工作日内支付合同剩余总金额的60%；</w:t>
      </w:r>
    </w:p>
    <w:p>
      <w:pPr>
        <w:spacing w:line="360" w:lineRule="auto"/>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质保期：</w:t>
      </w:r>
      <w:r>
        <w:rPr>
          <w:rFonts w:hint="eastAsia" w:ascii="方正仿宋_GBK" w:hAnsi="方正仿宋_GBK" w:eastAsia="方正仿宋_GBK" w:cs="方正仿宋_GBK"/>
          <w:color w:val="000000" w:themeColor="text1"/>
          <w:sz w:val="28"/>
          <w:szCs w:val="28"/>
          <w14:textFill>
            <w14:solidFill>
              <w14:schemeClr w14:val="tx1"/>
            </w14:solidFill>
          </w14:textFill>
        </w:rPr>
        <w:t>符合国家现行验收的质量合格标准，质保期为1年，在质量保证期内发现工程和材料的质量问题所造成的经济损失全部由供应商承担</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5</w:t>
      </w:r>
      <w:r>
        <w:rPr>
          <w:rFonts w:hint="eastAsia" w:ascii="方正仿宋_GBK" w:hAnsi="方正仿宋_GBK" w:eastAsia="方正仿宋_GBK" w:cs="方正仿宋_GBK"/>
          <w:kern w:val="0"/>
          <w:sz w:val="28"/>
          <w:szCs w:val="28"/>
        </w:rPr>
        <w:t>.其余事项以合同约定为准。</w:t>
      </w:r>
    </w:p>
    <w:p>
      <w:pPr>
        <w:spacing w:line="360" w:lineRule="auto"/>
        <w:ind w:firstLine="562" w:firstLineChars="200"/>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五、验收要求</w:t>
      </w:r>
    </w:p>
    <w:p>
      <w:pPr>
        <w:pStyle w:val="9"/>
        <w:ind w:firstLine="560" w:firstLineChars="200"/>
      </w:pPr>
      <w:r>
        <w:rPr>
          <w:rFonts w:hint="eastAsia" w:ascii="方正仿宋_GBK" w:hAnsi="方正仿宋_GBK" w:eastAsia="方正仿宋_GBK" w:cs="方正仿宋_GBK"/>
          <w:sz w:val="28"/>
          <w:szCs w:val="28"/>
        </w:rPr>
        <w:t>1.采购人验收根据《财政部关于进一步加强政府采购需求和履约验收管理的指导意见》(财库〔2016〕205号)和《巴中市财政局关于进一步加强政府采购项目合同履约验收管理工作的通知》（巴财采〔2021〕21号）的规定进行验收。</w:t>
      </w:r>
    </w:p>
    <w:p>
      <w:pPr>
        <w:pStyle w:val="3"/>
        <w:rPr>
          <w:rFonts w:ascii="方正仿宋_GBK" w:hAnsi="方正仿宋_GBK"/>
          <w:sz w:val="28"/>
          <w:szCs w:val="28"/>
        </w:rPr>
        <w:sectPr>
          <w:footerReference r:id="rId5" w:type="default"/>
          <w:pgSz w:w="11906" w:h="16838"/>
          <w:pgMar w:top="1440" w:right="1800" w:bottom="1440" w:left="1800" w:header="851" w:footer="992" w:gutter="0"/>
          <w:cols w:space="720" w:num="1"/>
          <w:docGrid w:type="lines" w:linePitch="312" w:charSpace="0"/>
        </w:sectPr>
      </w:pPr>
    </w:p>
    <w:p>
      <w:pPr>
        <w:pStyle w:val="3"/>
        <w:rPr>
          <w:rFonts w:ascii="方正仿宋_GBK" w:hAnsi="方正仿宋_GBK"/>
          <w:sz w:val="28"/>
          <w:szCs w:val="28"/>
        </w:rPr>
      </w:pPr>
      <w:r>
        <w:rPr>
          <w:rFonts w:hint="eastAsia" w:ascii="方正仿宋_GBK" w:hAnsi="方正仿宋_GBK"/>
          <w:sz w:val="28"/>
          <w:szCs w:val="28"/>
        </w:rPr>
        <w:t>四、响应文件要求</w:t>
      </w:r>
      <w:bookmarkEnd w:id="10"/>
      <w:bookmarkEnd w:id="11"/>
      <w:bookmarkEnd w:id="12"/>
    </w:p>
    <w:p>
      <w:pPr>
        <w:pStyle w:val="4"/>
        <w:rPr>
          <w:sz w:val="28"/>
          <w:szCs w:val="28"/>
        </w:rPr>
      </w:pPr>
      <w:r>
        <w:rPr>
          <w:rFonts w:hint="eastAsia"/>
          <w:sz w:val="28"/>
          <w:szCs w:val="28"/>
        </w:rPr>
        <w:t>（一）资格响应部分</w:t>
      </w:r>
    </w:p>
    <w:tbl>
      <w:tblPr>
        <w:tblStyle w:val="23"/>
        <w:tblW w:w="482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
                <w:bCs/>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具有良好的商业信誉和健全的财务会计制度</w:t>
            </w:r>
          </w:p>
        </w:tc>
        <w:tc>
          <w:tcPr>
            <w:tcW w:w="5388" w:type="dxa"/>
            <w:shd w:val="clear" w:color="auto" w:fill="FFFFFF"/>
            <w:vAlign w:val="center"/>
          </w:tcPr>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（2）提供财务状况报告（以下三任选其一）：</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年度经会计师事务所审计的完整财务报告复印件或提供银行出具的有效期内的资信证明复印件；</w:t>
            </w:r>
          </w:p>
          <w:p>
            <w:pPr>
              <w:spacing w:line="360" w:lineRule="auto"/>
              <w:jc w:val="left"/>
              <w:rPr>
                <w:rFonts w:hint="default" w:eastAsia="方正仿宋_GBK"/>
                <w:lang w:val="en-US" w:eastAsia="zh-CN"/>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r>
              <w:rPr>
                <w:rFonts w:hint="eastAsia" w:ascii="方正仿宋_GBK" w:hAnsi="方正仿宋_GBK" w:eastAsia="方正仿宋_GBK" w:cs="方正仿宋_GBK"/>
                <w:lang w:val="en-US" w:eastAsia="zh-CN"/>
              </w:rPr>
              <w:t>c.提供具有健全的财务会计制度的承诺函。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有依法缴纳税收和社会保障资金的良好记录</w:t>
            </w:r>
          </w:p>
        </w:tc>
        <w:tc>
          <w:tcPr>
            <w:tcW w:w="5388" w:type="dxa"/>
            <w:shd w:val="clear" w:color="auto" w:fill="FFFFFF"/>
            <w:vAlign w:val="center"/>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（1）供应商提供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递交响应文件截止日期之前12个月内任意连续三个月的缴纳税收的证明，零申报或依法免税的公司须提供相应文件证明，新成立不足三个月的公司按实际缴纳情况提供。</w:t>
            </w:r>
          </w:p>
          <w:p>
            <w:pPr>
              <w:spacing w:line="360" w:lineRule="auto"/>
              <w:rPr>
                <w:rFonts w:eastAsia="方正仿宋_GBK"/>
              </w:rPr>
            </w:pPr>
            <w:r>
              <w:rPr>
                <w:rFonts w:hint="eastAsia" w:ascii="方正仿宋_GBK" w:hAnsi="方正仿宋_GBK" w:eastAsia="方正仿宋_GBK" w:cs="方正仿宋_GBK"/>
                <w:szCs w:val="21"/>
              </w:rPr>
              <w:t>（2）供应商提供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递交响应文件截止日期之前12个月内任意连续三个月的缴纳社保的证明，新成立不足三个月的公司按实际缴纳情况提供，不需要缴纳社会保障资金的公司须提供相应文件证明其不需要缴纳社会保障资金。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无。</w:t>
            </w:r>
          </w:p>
        </w:tc>
      </w:tr>
    </w:tbl>
    <w:p>
      <w:pPr>
        <w:pStyle w:val="4"/>
        <w:rPr>
          <w:sz w:val="28"/>
          <w:szCs w:val="28"/>
        </w:rPr>
      </w:pPr>
      <w:r>
        <w:rPr>
          <w:rFonts w:hint="eastAsia"/>
          <w:sz w:val="28"/>
          <w:szCs w:val="28"/>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（一）响应函；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）知识产权声明函；</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）其他本项目涉及的材料及供应商认为应提交的相关材料。</w:t>
      </w:r>
    </w:p>
    <w:p>
      <w:pPr>
        <w:pStyle w:val="4"/>
        <w:rPr>
          <w:sz w:val="28"/>
          <w:szCs w:val="28"/>
        </w:rPr>
      </w:pPr>
      <w:r>
        <w:rPr>
          <w:rFonts w:hint="eastAsia"/>
          <w:sz w:val="28"/>
          <w:szCs w:val="28"/>
        </w:rPr>
        <w:t>（三）报价表</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不制作于响应文件中</w:t>
      </w:r>
      <w:r>
        <w:rPr>
          <w:rFonts w:hint="eastAsia" w:ascii="方正仿宋_GBK" w:hAnsi="方正仿宋_GBK" w:eastAsia="方正仿宋_GBK" w:cs="方正仿宋_GBK"/>
          <w:sz w:val="28"/>
          <w:szCs w:val="28"/>
        </w:rPr>
        <w:t>。资格性、符合性通过的供应商，一次性报出不可更改的价格（自行准备密封袋，须盖供应商鲜章密封递交）。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2、响应文件、报价表应分别单独包装、密封和标注（正副本应密封在一个密封袋内）。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spacing w:line="600" w:lineRule="exact"/>
        <w:rPr>
          <w:rFonts w:ascii="方正仿宋_GBK" w:hAnsi="方正仿宋_GBK"/>
          <w:kern w:val="2"/>
          <w:sz w:val="28"/>
          <w:szCs w:val="28"/>
        </w:rPr>
      </w:pPr>
      <w:bookmarkStart w:id="13" w:name="_Toc1238"/>
      <w:bookmarkStart w:id="14" w:name="_Toc4386"/>
      <w:bookmarkStart w:id="15" w:name="_Toc30731"/>
      <w:r>
        <w:rPr>
          <w:rFonts w:hint="eastAsia" w:ascii="方正仿宋_GBK" w:hAnsi="方正仿宋_GBK"/>
          <w:sz w:val="28"/>
          <w:szCs w:val="28"/>
        </w:rPr>
        <w:t>五、响应文件格式</w:t>
      </w:r>
      <w:bookmarkEnd w:id="13"/>
      <w:bookmarkEnd w:id="14"/>
      <w:bookmarkEnd w:id="15"/>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spacing w:line="500" w:lineRule="exact"/>
        <w:ind w:firstLine="560" w:firstLineChars="200"/>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9"/>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6" w:name="_Toc15220"/>
      <w:r>
        <w:rPr>
          <w:rFonts w:hint="eastAsia"/>
        </w:rPr>
        <w:t>法定代表人/负责人身份证明书</w:t>
      </w:r>
      <w:bookmarkEnd w:id="16"/>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9"/>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7" w:name="_Toc111"/>
      <w:r>
        <w:rPr>
          <w:rFonts w:hint="eastAsia"/>
        </w:rPr>
        <w:t>授权委托书</w:t>
      </w:r>
      <w:bookmarkEnd w:id="17"/>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）询价采购活动的合法代表，以我方名义全权处理该项目有关询价、签订合同以及执行合同等一切事宜。本公司均予以认可并对此承担责任。授权代表无转委托权。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9"/>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18" w:name="OLE_LINK9"/>
      <w:r>
        <w:rPr>
          <w:rFonts w:hint="eastAsia" w:ascii="方正仿宋_GBK" w:hAnsi="方正仿宋_GBK" w:eastAsia="方正仿宋_GBK" w:cs="方正仿宋_GBK"/>
          <w:b/>
          <w:bCs/>
          <w:sz w:val="28"/>
          <w:szCs w:val="28"/>
        </w:rPr>
        <w:t>（1）</w:t>
      </w:r>
      <w:bookmarkEnd w:id="18"/>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pgSz w:w="11906" w:h="16838"/>
          <w:pgMar w:top="1440" w:right="1800" w:bottom="1440" w:left="1800" w:header="851" w:footer="992" w:gutter="0"/>
          <w:cols w:space="720" w:num="1"/>
          <w:docGrid w:type="lines" w:linePitch="312" w:charSpace="0"/>
        </w:sectPr>
      </w:pPr>
    </w:p>
    <w:p>
      <w:pPr>
        <w:pStyle w:val="4"/>
        <w:jc w:val="center"/>
      </w:pPr>
      <w:r>
        <w:rPr>
          <w:rFonts w:hint="eastAsia"/>
        </w:rPr>
        <w:t>响应函</w:t>
      </w:r>
    </w:p>
    <w:p>
      <w:pPr>
        <w:spacing w:line="360" w:lineRule="auto"/>
        <w:rPr>
          <w:rFonts w:ascii="方正仿宋_GBK" w:hAnsi="方正仿宋_GBK" w:eastAsia="方正仿宋_GBK" w:cs="方正仿宋_GBK"/>
          <w:b/>
          <w:bCs/>
          <w:sz w:val="28"/>
        </w:rPr>
      </w:pPr>
      <w:r>
        <w:rPr>
          <w:rFonts w:hint="eastAsia" w:ascii="方正仿宋_GBK" w:hAnsi="方正仿宋_GBK" w:eastAsia="方正仿宋_GBK" w:cs="方正仿宋_GBK"/>
          <w:b/>
          <w:bCs/>
          <w:sz w:val="28"/>
        </w:rPr>
        <w:t>四川振嘉工程招标代理有限公司：</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 xml:space="preserve">1.我方全面研究了“ </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”项目询价通知书（项目编号：</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rPr>
        <w:t>），决定参加贵单位组织的本项目询价采购。</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2.我方自愿按照询价通知书规定的各项要求向采购人提供所需货物</w:t>
      </w:r>
      <w:r>
        <w:rPr>
          <w:rFonts w:hint="eastAsia" w:ascii="方正仿宋_GBK" w:hAnsi="方正仿宋_GBK" w:eastAsia="方正仿宋_GBK" w:cs="方正仿宋_GBK"/>
          <w:sz w:val="28"/>
          <w:lang w:val="en-US" w:eastAsia="zh-CN"/>
        </w:rPr>
        <w:t>/服务/工程</w:t>
      </w:r>
      <w:r>
        <w:rPr>
          <w:rFonts w:hint="eastAsia" w:ascii="方正仿宋_GBK" w:hAnsi="方正仿宋_GBK" w:eastAsia="方正仿宋_GBK" w:cs="方正仿宋_GBK"/>
          <w:sz w:val="28"/>
        </w:rPr>
        <w:t>，总报价以单独递交的报价表为主。</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3.一旦我方成交，我方将严格履行政府采购合同规定的责任和义务。</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4.我们已详细审核全部采购文件，包括文件修改书(如有)，参考资料及有关附件，我们完全理解并放弃提出含糊不清或误解的问题的权利。</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5.我方同意本询价通知书依据有关文件对我方可能存在的失信行为进行惩戒。</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6.我方为本项目提交的响应文件正本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份，副本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份；用于询价的报价表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7.我方愿意提供贵单位可能另外要求的，与询价报价有关的文件资料，并保证我方已提供和将要提供的文件资料是真实、准确的。</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8.如果我方成交，我方保证按照询价通知书的规定向贵方交纳成交服务费。</w:t>
      </w:r>
    </w:p>
    <w:p>
      <w:pPr>
        <w:spacing w:line="480" w:lineRule="exact"/>
        <w:ind w:left="420" w:leftChars="200"/>
        <w:rPr>
          <w:rFonts w:ascii="方正仿宋_GBK" w:hAnsi="方正仿宋_GBK" w:eastAsia="方正仿宋_GBK" w:cs="方正仿宋_GBK"/>
          <w:sz w:val="28"/>
        </w:rPr>
      </w:pPr>
      <w:r>
        <w:rPr>
          <w:rFonts w:hint="eastAsia" w:ascii="方正仿宋_GBK" w:hAnsi="方正仿宋_GBK" w:eastAsia="方正仿宋_GBK" w:cs="方正仿宋_GBK"/>
          <w:sz w:val="28"/>
        </w:rPr>
        <w:t>9.本次询价，我方报价有效期为提交响应文件截止之日起</w:t>
      </w:r>
      <w:r>
        <w:rPr>
          <w:rFonts w:hint="eastAsia" w:ascii="方正仿宋_GBK" w:hAnsi="方正仿宋_GBK" w:eastAsia="方正仿宋_GBK" w:cs="方正仿宋_GBK"/>
          <w:sz w:val="28"/>
          <w:u w:val="single"/>
        </w:rPr>
        <w:t xml:space="preserve"> 90 </w:t>
      </w:r>
      <w:r>
        <w:rPr>
          <w:rFonts w:hint="eastAsia" w:ascii="方正仿宋_GBK" w:hAnsi="方正仿宋_GBK" w:eastAsia="方正仿宋_GBK" w:cs="方正仿宋_GBK"/>
          <w:sz w:val="28"/>
        </w:rPr>
        <w:t>天。与本询价有关的正式通讯地址为：</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sz w:val="28"/>
          <w:szCs w:val="28"/>
        </w:rPr>
        <w:t>）</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p>
    <w:p>
      <w:r>
        <w:rPr>
          <w:rFonts w:hint="eastAsia"/>
        </w:rPr>
        <w:br w:type="page"/>
      </w:r>
    </w:p>
    <w:p>
      <w:pPr>
        <w:pStyle w:val="4"/>
        <w:jc w:val="center"/>
      </w:pPr>
      <w:r>
        <w:rPr>
          <w:rFonts w:hint="eastAsia"/>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五、如果有有关法律法规规定的记入诚信档案的失信行为，将在响应文件中全面如实反映。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pPr>
      <w:r>
        <w:rPr>
          <w:rFonts w:hint="eastAsia" w:ascii="方正仿宋_GBK" w:hAnsi="方正仿宋_GBK" w:eastAsia="方正仿宋_GBK" w:cs="方正仿宋_GBK"/>
          <w:b/>
          <w:bCs/>
          <w:sz w:val="28"/>
          <w:szCs w:val="28"/>
        </w:rPr>
        <w:br w:type="page"/>
      </w:r>
      <w:bookmarkStart w:id="19" w:name="_Toc31358"/>
    </w:p>
    <w:p>
      <w:pPr>
        <w:spacing w:line="360" w:lineRule="auto"/>
        <w:rPr>
          <w:rFonts w:cs="方正仿宋_GBK"/>
          <w:szCs w:val="28"/>
        </w:rPr>
      </w:pPr>
    </w:p>
    <w:p>
      <w:pPr>
        <w:pStyle w:val="4"/>
        <w:jc w:val="center"/>
      </w:pPr>
      <w:r>
        <w:rPr>
          <w:rFonts w:hint="eastAsia"/>
        </w:rPr>
        <w:t>技术、服务要求响应表</w:t>
      </w:r>
      <w:bookmarkEnd w:id="19"/>
    </w:p>
    <w:p>
      <w:pPr>
        <w:pStyle w:val="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3"/>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0" w:name="_Toc22567"/>
      <w:r>
        <w:rPr>
          <w:rFonts w:hint="eastAsia"/>
        </w:rPr>
        <w:t>商务应答表</w:t>
      </w:r>
      <w:bookmarkEnd w:id="20"/>
    </w:p>
    <w:p>
      <w:pPr>
        <w:pStyle w:val="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3"/>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注：1.供应商必须把采购项目的全部商务要求列入此表。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9"/>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1" w:name="_Toc10905"/>
      <w:r>
        <w:t>中小企业声明函（货物类适用）</w:t>
      </w:r>
      <w:bookmarkEnd w:id="21"/>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4"/>
        <w:jc w:val="center"/>
      </w:pPr>
      <w:bookmarkStart w:id="22" w:name="_Toc19913"/>
      <w:r>
        <w:rPr>
          <w:rFonts w:hint="eastAsia"/>
        </w:rPr>
        <w:t>知识产权声明函</w:t>
      </w:r>
      <w:bookmarkEnd w:id="22"/>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4"/>
        <w:jc w:val="center"/>
      </w:pPr>
      <w:bookmarkStart w:id="23" w:name="_Toc7958"/>
      <w:r>
        <w:rPr>
          <w:rFonts w:hint="eastAsia"/>
        </w:rPr>
        <w:t>其他相关材料</w:t>
      </w:r>
      <w:bookmarkEnd w:id="23"/>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9"/>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9"/>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9"/>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9"/>
        <w:rPr>
          <w:rFonts w:ascii="方正仿宋_GBK" w:hAnsi="方正仿宋_GBK" w:eastAsia="方正仿宋_GBK" w:cs="方正仿宋_GBK"/>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r>
        <w:rPr>
          <w:rFonts w:hint="eastAsia"/>
        </w:rPr>
        <w:br w:type="page"/>
      </w:r>
    </w:p>
    <w:p>
      <w:pPr>
        <w:pStyle w:val="4"/>
        <w:jc w:val="center"/>
      </w:pPr>
      <w:r>
        <w:rPr>
          <w:rFonts w:hint="eastAsia"/>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3"/>
        <w:tblpPr w:leftFromText="180" w:rightFromText="180" w:vertAnchor="text" w:horzAnchor="page" w:tblpX="1799" w:tblpY="598"/>
        <w:tblOverlap w:val="never"/>
        <w:tblW w:w="83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610"/>
        <w:gridCol w:w="1425"/>
        <w:gridCol w:w="975"/>
        <w:gridCol w:w="945"/>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261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1425"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单</w:t>
            </w:r>
            <w:r>
              <w:rPr>
                <w:rFonts w:hint="eastAsia" w:ascii="方正仿宋_GBK" w:hAnsi="方正仿宋_GBK" w:eastAsia="方正仿宋_GBK" w:cs="方正仿宋_GBK"/>
                <w:sz w:val="24"/>
                <w:szCs w:val="24"/>
              </w:rPr>
              <w:t>价（元）</w:t>
            </w:r>
          </w:p>
        </w:tc>
        <w:tc>
          <w:tcPr>
            <w:tcW w:w="975" w:type="dxa"/>
            <w:vAlign w:val="center"/>
          </w:tcPr>
          <w:p>
            <w:pPr>
              <w:spacing w:line="36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数量</w:t>
            </w:r>
          </w:p>
        </w:tc>
        <w:tc>
          <w:tcPr>
            <w:tcW w:w="945" w:type="dxa"/>
            <w:vAlign w:val="center"/>
          </w:tcPr>
          <w:p>
            <w:pPr>
              <w:spacing w:line="36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单位</w:t>
            </w:r>
          </w:p>
        </w:tc>
        <w:tc>
          <w:tcPr>
            <w:tcW w:w="1650" w:type="dxa"/>
            <w:vAlign w:val="center"/>
          </w:tcPr>
          <w:p>
            <w:pPr>
              <w:spacing w:line="36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4"/>
                <w:szCs w:val="24"/>
                <w14:textFill>
                  <w14:solidFill>
                    <w14:schemeClr w14:val="tx1"/>
                  </w14:solidFill>
                </w14:textFill>
              </w:rPr>
            </w:pPr>
          </w:p>
        </w:tc>
        <w:tc>
          <w:tcPr>
            <w:tcW w:w="2610" w:type="dxa"/>
            <w:vAlign w:val="center"/>
          </w:tcPr>
          <w:p>
            <w:pPr>
              <w:spacing w:line="360" w:lineRule="auto"/>
              <w:jc w:val="center"/>
              <w:rPr>
                <w:rFonts w:ascii="方正仿宋_GBK" w:hAnsi="方正仿宋_GBK" w:eastAsia="方正仿宋_GBK" w:cs="方正仿宋_GBK"/>
                <w:color w:val="000000" w:themeColor="text1"/>
                <w:sz w:val="24"/>
                <w:szCs w:val="24"/>
                <w14:textFill>
                  <w14:solidFill>
                    <w14:schemeClr w14:val="tx1"/>
                  </w14:solidFill>
                </w14:textFill>
              </w:rPr>
            </w:pPr>
          </w:p>
        </w:tc>
        <w:tc>
          <w:tcPr>
            <w:tcW w:w="1425" w:type="dxa"/>
            <w:vAlign w:val="center"/>
          </w:tcPr>
          <w:p>
            <w:pPr>
              <w:spacing w:line="360" w:lineRule="auto"/>
              <w:jc w:val="center"/>
              <w:rPr>
                <w:rFonts w:ascii="方正仿宋_GBK" w:hAnsi="方正仿宋_GBK" w:eastAsia="方正仿宋_GBK" w:cs="方正仿宋_GBK"/>
                <w:sz w:val="24"/>
                <w:szCs w:val="24"/>
              </w:rPr>
            </w:pPr>
          </w:p>
        </w:tc>
        <w:tc>
          <w:tcPr>
            <w:tcW w:w="975" w:type="dxa"/>
          </w:tcPr>
          <w:p>
            <w:pPr>
              <w:spacing w:line="360" w:lineRule="auto"/>
              <w:jc w:val="center"/>
              <w:rPr>
                <w:rFonts w:ascii="方正仿宋_GBK" w:hAnsi="方正仿宋_GBK" w:eastAsia="方正仿宋_GBK" w:cs="方正仿宋_GBK"/>
                <w:sz w:val="24"/>
                <w:szCs w:val="24"/>
              </w:rPr>
            </w:pPr>
          </w:p>
        </w:tc>
        <w:tc>
          <w:tcPr>
            <w:tcW w:w="945" w:type="dxa"/>
          </w:tcPr>
          <w:p>
            <w:pPr>
              <w:spacing w:line="360" w:lineRule="auto"/>
              <w:jc w:val="center"/>
              <w:rPr>
                <w:rFonts w:ascii="方正仿宋_GBK" w:hAnsi="方正仿宋_GBK" w:eastAsia="方正仿宋_GBK" w:cs="方正仿宋_GBK"/>
                <w:sz w:val="24"/>
                <w:szCs w:val="24"/>
              </w:rPr>
            </w:pPr>
          </w:p>
        </w:tc>
        <w:tc>
          <w:tcPr>
            <w:tcW w:w="1650" w:type="dxa"/>
          </w:tcPr>
          <w:p>
            <w:pPr>
              <w:spacing w:line="360" w:lineRule="auto"/>
              <w:jc w:val="center"/>
              <w:rPr>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8325" w:type="dxa"/>
            <w:gridSpan w:val="6"/>
          </w:tcPr>
          <w:p>
            <w:pPr>
              <w:spacing w:line="360"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合计金额（元）：大写：</w:t>
            </w:r>
          </w:p>
        </w:tc>
      </w:tr>
    </w:tbl>
    <w:p>
      <w:pPr>
        <w:pStyle w:val="9"/>
      </w:pPr>
    </w:p>
    <w:p>
      <w:pPr>
        <w:pStyle w:val="9"/>
      </w:pPr>
    </w:p>
    <w:p>
      <w:pPr>
        <w:rPr>
          <w:rFonts w:hint="eastAsia" w:ascii="方正仿宋_GBK" w:hAnsi="方正仿宋_GBK" w:eastAsia="方正仿宋_GBK" w:cs="方正仿宋_GBK"/>
          <w:color w:val="000000"/>
          <w:kern w:val="0"/>
          <w:sz w:val="28"/>
          <w:szCs w:val="28"/>
        </w:rPr>
      </w:pPr>
    </w:p>
    <w:p>
      <w:pPr>
        <w:rPr>
          <w:rFonts w:hint="eastAsia" w:ascii="方正仿宋_GBK" w:hAnsi="方正仿宋_GBK" w:eastAsia="方正仿宋_GBK" w:cs="方正仿宋_GBK"/>
          <w:color w:val="000000"/>
          <w:kern w:val="0"/>
          <w:sz w:val="28"/>
          <w:szCs w:val="28"/>
        </w:rPr>
      </w:pPr>
    </w:p>
    <w:p>
      <w:pPr>
        <w:pStyle w:val="9"/>
        <w:rPr>
          <w:rFonts w:hint="eastAsia"/>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sectPr>
          <w:footerReference r:id="rId6" w:type="default"/>
          <w:pgSz w:w="11906" w:h="16838"/>
          <w:pgMar w:top="1440" w:right="1803" w:bottom="1440" w:left="1803" w:header="851" w:footer="992" w:gutter="0"/>
          <w:cols w:space="720" w:num="1"/>
          <w:docGrid w:type="lines" w:linePitch="312" w:charSpace="0"/>
        </w:sectPr>
      </w:pPr>
    </w:p>
    <w:p>
      <w:pPr>
        <w:pStyle w:val="3"/>
        <w:rPr>
          <w:rFonts w:ascii="方正仿宋_GBK" w:hAnsi="方正仿宋_GBK"/>
          <w:sz w:val="28"/>
          <w:szCs w:val="28"/>
        </w:rPr>
      </w:pPr>
      <w:bookmarkStart w:id="24" w:name="_Toc11347"/>
      <w:bookmarkStart w:id="25" w:name="_Toc27996"/>
      <w:bookmarkStart w:id="26" w:name="_Toc16139"/>
      <w:r>
        <w:rPr>
          <w:rFonts w:hint="eastAsia" w:ascii="方正仿宋_GBK" w:hAnsi="方正仿宋_GBK"/>
          <w:sz w:val="28"/>
          <w:szCs w:val="28"/>
        </w:rPr>
        <w:t>六、确定成交供应商的原则</w:t>
      </w:r>
      <w:bookmarkEnd w:id="24"/>
      <w:bookmarkEnd w:id="25"/>
      <w:bookmarkEnd w:id="26"/>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本项目采购方式为询价采购，须按最低评标价法进行评审。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具体询价程序参照《四川省政府采购评审工作规程（修订）》执行。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财库〔2022〕19号文件和《巴中市财政局关于进一步加大政府采购支持中小企业力度的通知》巴财采〔2022〕14号的规定，对小型和微型企业产品的价格给予20%的价格扣除，用扣除后的价格参与评审。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27" w:name="bookmark37"/>
      <w:bookmarkEnd w:id="27"/>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28" w:name="bookmark38"/>
      <w:bookmarkEnd w:id="28"/>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rPr>
        <w:t>，在报价相同时，成交候选供应商并列的情况下</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29" w:name="bookmark40"/>
      <w:bookmarkEnd w:id="29"/>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30" w:name="_Toc11158"/>
      <w:bookmarkStart w:id="31" w:name="_Toc5245"/>
      <w:bookmarkStart w:id="32" w:name="_Toc32506"/>
      <w:r>
        <w:rPr>
          <w:rFonts w:hint="eastAsia" w:ascii="方正仿宋_GBK" w:hAnsi="方正仿宋_GBK"/>
          <w:sz w:val="28"/>
          <w:szCs w:val="28"/>
        </w:rPr>
        <w:t>七、文件获取方式、时间、地点</w:t>
      </w:r>
      <w:bookmarkEnd w:id="30"/>
      <w:bookmarkEnd w:id="31"/>
      <w:bookmarkEnd w:id="32"/>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采购文件自202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15</w:t>
      </w:r>
      <w:r>
        <w:rPr>
          <w:rFonts w:hint="eastAsia" w:ascii="方正仿宋_GBK" w:hAnsi="方正仿宋_GBK" w:eastAsia="方正仿宋_GBK" w:cs="方正仿宋_GBK"/>
          <w:sz w:val="28"/>
          <w:szCs w:val="28"/>
        </w:rPr>
        <w:t>日至202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18</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现场获取/邮箱获取。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rPr>
        <w:t>递交文件截止日期前将原件交给采购代理机构留存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8"/>
          <w:szCs w:val="28"/>
          <w14:textFill>
            <w14:solidFill>
              <w14:schemeClr w14:val="tx1"/>
            </w14:solidFill>
          </w14:textFill>
        </w:rPr>
        <w:t>00元/份（采购文件售后不退，询价资格不能转让）。</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column">
              <wp:posOffset>3721100</wp:posOffset>
            </wp:positionH>
            <wp:positionV relativeFrom="paragraph">
              <wp:posOffset>36195</wp:posOffset>
            </wp:positionV>
            <wp:extent cx="1649095" cy="1640205"/>
            <wp:effectExtent l="0" t="0" r="8255" b="17145"/>
            <wp:wrapSquare wrapText="bothSides"/>
            <wp:docPr id="1" name="图片 1" descr="5c2f9d629e7eb0ea9e1bd6714b629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2f9d629e7eb0ea9e1bd6714b629da"/>
                    <pic:cNvPicPr>
                      <a:picLocks noChangeAspect="1"/>
                    </pic:cNvPicPr>
                  </pic:nvPicPr>
                  <pic:blipFill>
                    <a:blip r:embed="rId11"/>
                    <a:srcRect b="27550"/>
                    <a:stretch>
                      <a:fillRect/>
                    </a:stretch>
                  </pic:blipFill>
                  <pic:spPr>
                    <a:xfrm>
                      <a:off x="0" y="0"/>
                      <a:ext cx="1649095" cy="1640205"/>
                    </a:xfrm>
                    <a:prstGeom prst="rect">
                      <a:avLst/>
                    </a:prstGeom>
                  </pic:spPr>
                </pic:pic>
              </a:graphicData>
            </a:graphic>
          </wp:anchor>
        </w:drawing>
      </w:r>
      <w:r>
        <w:rPr>
          <w:rFonts w:hint="eastAsia" w:ascii="方正仿宋_GBK" w:hAnsi="方正仿宋_GBK" w:eastAsia="方正仿宋_GBK" w:cs="方正仿宋_GBK"/>
          <w:color w:val="000000" w:themeColor="text1"/>
          <w:sz w:val="28"/>
          <w:szCs w:val="28"/>
          <w14:textFill>
            <w14:solidFill>
              <w14:schemeClr w14:val="tx1"/>
            </w14:solidFill>
          </w14:textFill>
        </w:rPr>
        <w:t>收款二维码见右图：</w:t>
      </w:r>
    </w:p>
    <w:p>
      <w:pPr>
        <w:spacing w:line="360" w:lineRule="auto"/>
        <w:ind w:firstLine="562" w:firstLineChars="200"/>
        <w:rPr>
          <w:rFonts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（请注明项目名称及供应商名称）</w:t>
      </w:r>
    </w:p>
    <w:p>
      <w:bookmarkStart w:id="33" w:name="_Toc22573"/>
      <w:bookmarkStart w:id="34" w:name="_Toc17808"/>
      <w:bookmarkStart w:id="35" w:name="_Toc20158"/>
    </w:p>
    <w:p/>
    <w:p/>
    <w:p/>
    <w:p>
      <w:pPr>
        <w:pStyle w:val="3"/>
        <w:rPr>
          <w:rFonts w:ascii="方正仿宋_GBK" w:hAnsi="方正仿宋_GBK"/>
          <w:sz w:val="28"/>
          <w:szCs w:val="28"/>
        </w:rPr>
      </w:pPr>
      <w:r>
        <w:rPr>
          <w:rFonts w:hint="eastAsia" w:ascii="方正仿宋_GBK" w:hAnsi="方正仿宋_GBK"/>
          <w:sz w:val="28"/>
          <w:szCs w:val="28"/>
        </w:rPr>
        <w:t>八、递交响应文件截止时间</w:t>
      </w:r>
      <w:bookmarkEnd w:id="33"/>
      <w:bookmarkEnd w:id="34"/>
      <w:bookmarkEnd w:id="35"/>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20</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36" w:name="_Toc25240"/>
      <w:bookmarkStart w:id="37" w:name="_Toc24476"/>
      <w:bookmarkStart w:id="38" w:name="_Toc7760"/>
      <w:r>
        <w:rPr>
          <w:rFonts w:hint="eastAsia" w:ascii="方正仿宋_GBK" w:hAnsi="方正仿宋_GBK"/>
          <w:sz w:val="28"/>
          <w:szCs w:val="28"/>
        </w:rPr>
        <w:t>九、递交响应文件地点</w:t>
      </w:r>
      <w:bookmarkEnd w:id="36"/>
      <w:bookmarkEnd w:id="37"/>
      <w:bookmarkEnd w:id="38"/>
    </w:p>
    <w:p>
      <w:pPr>
        <w:widowControl/>
        <w:ind w:firstLine="560" w:firstLineChars="200"/>
        <w:rPr>
          <w:rFonts w:ascii="方正仿宋_GBK" w:hAnsi="方正仿宋_GBK" w:eastAsia="方正仿宋_GBK" w:cs="方正仿宋_GBK"/>
          <w:sz w:val="28"/>
          <w:szCs w:val="28"/>
        </w:rPr>
      </w:pPr>
      <w:bookmarkStart w:id="3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39"/>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20</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20</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40" w:name="_Toc2651"/>
      <w:bookmarkStart w:id="41" w:name="_Toc5721"/>
      <w:bookmarkStart w:id="42" w:name="_Toc5653"/>
      <w:bookmarkStart w:id="43" w:name="_Toc6315"/>
      <w:bookmarkStart w:id="44" w:name="_Toc18438"/>
      <w:r>
        <w:rPr>
          <w:rFonts w:hint="eastAsia" w:ascii="方正仿宋_GBK" w:hAnsi="方正仿宋_GBK"/>
          <w:sz w:val="28"/>
          <w:szCs w:val="28"/>
        </w:rPr>
        <w:t>十、代理服务</w:t>
      </w:r>
      <w:bookmarkEnd w:id="40"/>
      <w:bookmarkEnd w:id="41"/>
      <w:bookmarkEnd w:id="42"/>
      <w:bookmarkEnd w:id="43"/>
      <w:bookmarkEnd w:id="44"/>
      <w:bookmarkStart w:id="63" w:name="_GoBack"/>
      <w:bookmarkEnd w:id="63"/>
    </w:p>
    <w:p>
      <w:pPr>
        <w:widowControl/>
        <w:adjustRightInd w:val="0"/>
        <w:snapToGrid w:val="0"/>
        <w:spacing w:line="305" w:lineRule="auto"/>
        <w:ind w:firstLine="560" w:firstLineChars="200"/>
        <w:jc w:val="left"/>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宋体" w:eastAsia="方正仿宋_GBK" w:cs="宋体"/>
          <w:kern w:val="0"/>
          <w:sz w:val="28"/>
          <w:szCs w:val="28"/>
        </w:rPr>
        <w:t>本项目代理服务费</w:t>
      </w:r>
      <w:r>
        <w:rPr>
          <w:rFonts w:hint="eastAsia" w:ascii="方正仿宋_GBK" w:hAnsi="宋体" w:eastAsia="方正仿宋_GBK" w:cs="宋体"/>
          <w:kern w:val="0"/>
          <w:sz w:val="28"/>
          <w:szCs w:val="28"/>
          <w:u w:val="single"/>
          <w:lang w:val="en-US" w:eastAsia="zh-CN"/>
        </w:rPr>
        <w:t>5</w:t>
      </w:r>
      <w:r>
        <w:rPr>
          <w:rFonts w:hint="eastAsia" w:ascii="方正仿宋_GBK" w:hAnsi="宋体" w:eastAsia="方正仿宋_GBK" w:cs="宋体"/>
          <w:kern w:val="0"/>
          <w:sz w:val="28"/>
          <w:szCs w:val="28"/>
          <w:u w:val="single"/>
        </w:rPr>
        <w:t>000</w:t>
      </w:r>
      <w:r>
        <w:rPr>
          <w:rFonts w:hint="eastAsia" w:ascii="方正仿宋_GBK" w:hAnsi="宋体" w:eastAsia="方正仿宋_GBK" w:cs="宋体"/>
          <w:kern w:val="0"/>
          <w:sz w:val="28"/>
          <w:szCs w:val="28"/>
        </w:rPr>
        <w:t>元（大写：</w:t>
      </w:r>
      <w:r>
        <w:rPr>
          <w:rFonts w:hint="eastAsia" w:ascii="方正仿宋_GBK" w:hAnsi="宋体" w:eastAsia="方正仿宋_GBK" w:cs="宋体"/>
          <w:kern w:val="0"/>
          <w:sz w:val="28"/>
          <w:szCs w:val="28"/>
          <w:lang w:eastAsia="zh-CN"/>
        </w:rPr>
        <w:t>伍</w:t>
      </w:r>
      <w:r>
        <w:rPr>
          <w:rFonts w:hint="eastAsia" w:ascii="方正仿宋_GBK" w:hAnsi="宋体" w:eastAsia="方正仿宋_GBK" w:cs="宋体"/>
          <w:kern w:val="0"/>
          <w:sz w:val="28"/>
          <w:szCs w:val="28"/>
        </w:rPr>
        <w:t>仟元整），由</w:t>
      </w:r>
      <w:r>
        <w:rPr>
          <w:rFonts w:hint="eastAsia" w:ascii="方正仿宋_GBK" w:hAnsi="方正仿宋_GBK" w:eastAsia="方正仿宋_GBK" w:cs="方正仿宋_GBK"/>
          <w:bCs/>
          <w:sz w:val="28"/>
          <w:szCs w:val="28"/>
          <w:u w:val="single"/>
          <w:lang w:eastAsia="zh-CN"/>
        </w:rPr>
        <w:t>成交供应商</w:t>
      </w:r>
      <w:r>
        <w:rPr>
          <w:rFonts w:hint="eastAsia" w:ascii="方正仿宋_GBK" w:hAnsi="宋体" w:eastAsia="方正仿宋_GBK" w:cs="宋体"/>
          <w:kern w:val="0"/>
          <w:sz w:val="28"/>
          <w:szCs w:val="28"/>
        </w:rPr>
        <w:t>向</w:t>
      </w:r>
      <w:r>
        <w:rPr>
          <w:rFonts w:hint="eastAsia" w:ascii="方正仿宋_GBK" w:hAnsi="宋体" w:eastAsia="方正仿宋_GBK" w:cs="宋体"/>
          <w:kern w:val="0"/>
          <w:sz w:val="28"/>
          <w:szCs w:val="28"/>
          <w:lang w:eastAsia="zh-CN"/>
        </w:rPr>
        <w:t>（代理机构）</w:t>
      </w:r>
      <w:r>
        <w:rPr>
          <w:rFonts w:hint="eastAsia" w:ascii="方正仿宋_GBK" w:hAnsi="宋体" w:eastAsia="方正仿宋_GBK" w:cs="宋体"/>
          <w:kern w:val="0"/>
          <w:sz w:val="28"/>
          <w:szCs w:val="28"/>
        </w:rPr>
        <w:t>支付。</w:t>
      </w:r>
    </w:p>
    <w:p>
      <w:pPr>
        <w:pStyle w:val="3"/>
        <w:rPr>
          <w:rFonts w:ascii="方正仿宋_GBK" w:hAnsi="方正仿宋_GBK"/>
          <w:sz w:val="28"/>
          <w:szCs w:val="28"/>
        </w:rPr>
      </w:pPr>
      <w:bookmarkStart w:id="45" w:name="_Toc10747"/>
      <w:bookmarkStart w:id="46" w:name="_Toc5861"/>
      <w:bookmarkStart w:id="47" w:name="_Toc9760"/>
      <w:r>
        <w:rPr>
          <w:rFonts w:hint="eastAsia" w:ascii="方正仿宋_GBK" w:hAnsi="方正仿宋_GBK"/>
          <w:sz w:val="28"/>
          <w:szCs w:val="28"/>
        </w:rPr>
        <w:t>十一、联系方式</w:t>
      </w:r>
      <w:bookmarkEnd w:id="45"/>
      <w:bookmarkEnd w:id="46"/>
      <w:bookmarkEnd w:id="47"/>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w:t>
      </w:r>
      <w:r>
        <w:rPr>
          <w:rFonts w:hint="eastAsia" w:ascii="方正仿宋_GBK" w:hAnsi="方正仿宋_GBK" w:eastAsia="方正仿宋_GBK" w:cs="方正仿宋_GBK"/>
          <w:sz w:val="28"/>
          <w:szCs w:val="28"/>
          <w:lang w:val="en-US" w:eastAsia="zh-CN"/>
        </w:rPr>
        <w:t>巴中市公安局</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r>
        <w:rPr>
          <w:rFonts w:hint="eastAsia" w:ascii="方正仿宋_GBK" w:hAnsi="方正仿宋_GBK" w:eastAsia="方正仿宋_GBK" w:cs="方正仿宋_GBK"/>
          <w:sz w:val="28"/>
          <w:szCs w:val="28"/>
          <w:lang w:val="en-US" w:eastAsia="zh-CN"/>
        </w:rPr>
        <w:t>巴中市公安局</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彭老师</w:t>
      </w:r>
      <w:r>
        <w:rPr>
          <w:rFonts w:hint="eastAsia" w:ascii="方正仿宋_GBK" w:hAnsi="方正仿宋_GBK" w:eastAsia="方正仿宋_GBK" w:cs="方正仿宋_GBK"/>
          <w:bCs/>
          <w:sz w:val="28"/>
          <w:szCs w:val="28"/>
        </w:rPr>
        <w:t>；联系电话：1</w:t>
      </w:r>
      <w:r>
        <w:rPr>
          <w:rFonts w:hint="eastAsia" w:ascii="方正仿宋_GBK" w:hAnsi="方正仿宋_GBK" w:eastAsia="方正仿宋_GBK" w:cs="方正仿宋_GBK"/>
          <w:bCs/>
          <w:sz w:val="28"/>
          <w:szCs w:val="28"/>
          <w:lang w:val="en-US" w:eastAsia="zh-CN"/>
        </w:rPr>
        <w:t>8919556060</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老师；联系电话：0827-8668888。</w:t>
      </w:r>
    </w:p>
    <w:p>
      <w:pPr>
        <w:pStyle w:val="3"/>
        <w:spacing w:line="360" w:lineRule="auto"/>
        <w:rPr>
          <w:rFonts w:ascii="方正仿宋_GBK" w:hAnsi="方正仿宋_GBK"/>
          <w:sz w:val="28"/>
          <w:szCs w:val="28"/>
        </w:rPr>
      </w:pPr>
      <w:bookmarkStart w:id="48" w:name="_Toc20873"/>
      <w:bookmarkStart w:id="49" w:name="_Toc8137"/>
      <w:bookmarkStart w:id="50" w:name="_Toc689"/>
      <w:bookmarkStart w:id="51" w:name="_Toc26219"/>
      <w:bookmarkStart w:id="52" w:name="_Toc669"/>
      <w:bookmarkStart w:id="53" w:name="_Toc11731"/>
      <w:r>
        <w:rPr>
          <w:rFonts w:hint="eastAsia" w:ascii="方正仿宋_GBK" w:hAnsi="方正仿宋_GBK"/>
          <w:sz w:val="28"/>
          <w:szCs w:val="28"/>
        </w:rPr>
        <w:t>十二、询问、质疑</w:t>
      </w:r>
      <w:bookmarkEnd w:id="48"/>
      <w:bookmarkEnd w:id="49"/>
      <w:bookmarkEnd w:id="50"/>
      <w:bookmarkEnd w:id="51"/>
      <w:bookmarkEnd w:id="52"/>
      <w:bookmarkEnd w:id="53"/>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sz w:val="28"/>
          <w:szCs w:val="28"/>
          <w:lang w:val="en-US" w:eastAsia="zh-CN"/>
        </w:rPr>
        <w:t>巴中市公安局</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彭老师</w:t>
      </w:r>
      <w:r>
        <w:rPr>
          <w:rFonts w:hint="eastAsia" w:ascii="方正仿宋_GBK" w:hAnsi="方正仿宋_GBK" w:eastAsia="方正仿宋_GBK" w:cs="方正仿宋_GBK"/>
          <w:bCs/>
          <w:sz w:val="28"/>
          <w:szCs w:val="28"/>
        </w:rPr>
        <w:t>、1</w:t>
      </w:r>
      <w:r>
        <w:rPr>
          <w:rFonts w:hint="eastAsia" w:ascii="方正仿宋_GBK" w:hAnsi="方正仿宋_GBK" w:eastAsia="方正仿宋_GBK" w:cs="方正仿宋_GBK"/>
          <w:bCs/>
          <w:sz w:val="28"/>
          <w:szCs w:val="28"/>
          <w:lang w:val="en-US" w:eastAsia="zh-CN"/>
        </w:rPr>
        <w:t>8919556060</w:t>
      </w:r>
      <w:r>
        <w:rPr>
          <w:rFonts w:hint="eastAsia" w:ascii="方正仿宋_GBK" w:hAnsi="方正仿宋_GBK" w:eastAsia="方正仿宋_GBK" w:cs="方正仿宋_GBK"/>
          <w:bCs/>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54" w:name="_Toc18960"/>
      <w:bookmarkStart w:id="55" w:name="_Toc10466"/>
      <w:bookmarkStart w:id="56" w:name="_Toc19621"/>
      <w:bookmarkStart w:id="57" w:name="_Toc17363"/>
      <w:bookmarkStart w:id="58" w:name="_Toc27803"/>
      <w:bookmarkStart w:id="59" w:name="_Toc17989"/>
      <w:r>
        <w:rPr>
          <w:rFonts w:hint="eastAsia" w:ascii="方正仿宋_GBK" w:hAnsi="方正仿宋_GBK"/>
          <w:sz w:val="28"/>
          <w:szCs w:val="28"/>
        </w:rPr>
        <w:t>十三、保证金及履约保证金</w:t>
      </w:r>
      <w:bookmarkEnd w:id="54"/>
      <w:bookmarkEnd w:id="55"/>
      <w:bookmarkEnd w:id="56"/>
      <w:bookmarkEnd w:id="57"/>
      <w:bookmarkEnd w:id="58"/>
      <w:bookmarkEnd w:id="59"/>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13.1、询价保证金：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0" w:name="_Toc297"/>
      <w:bookmarkStart w:id="61" w:name="_Toc22218"/>
      <w:bookmarkStart w:id="62" w:name="_Toc2065"/>
      <w:r>
        <w:rPr>
          <w:rFonts w:hint="eastAsia" w:ascii="方正仿宋_GBK" w:hAnsi="方正仿宋_GBK" w:eastAsia="方正仿宋_GBK" w:cs="方正仿宋_GBK"/>
          <w:b/>
          <w:bCs/>
          <w:sz w:val="28"/>
          <w:szCs w:val="28"/>
        </w:rPr>
        <w:t>本项目不收取。</w:t>
      </w:r>
    </w:p>
    <w:p>
      <w:pPr>
        <w:pStyle w:val="3"/>
        <w:spacing w:line="360" w:lineRule="auto"/>
        <w:rPr>
          <w:rFonts w:ascii="方正仿宋_GBK" w:hAnsi="方正仿宋_GBK"/>
          <w:sz w:val="28"/>
          <w:szCs w:val="28"/>
        </w:rPr>
      </w:pPr>
      <w:r>
        <w:rPr>
          <w:rFonts w:hint="eastAsia" w:ascii="方正仿宋_GBK" w:hAnsi="方正仿宋_GBK"/>
          <w:sz w:val="28"/>
          <w:szCs w:val="28"/>
        </w:rPr>
        <w:t>十四、合同草案</w:t>
      </w:r>
      <w:bookmarkEnd w:id="60"/>
      <w:bookmarkEnd w:id="61"/>
      <w:bookmarkEnd w:id="62"/>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   年   月   日</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p>
    <w:p>
      <w:pPr>
        <w:pageBreakBefore w:val="0"/>
        <w:kinsoku/>
        <w:overflowPunct/>
        <w:autoSpaceDE/>
        <w:autoSpaceDN/>
        <w:bidi w:val="0"/>
        <w:spacing w:line="520" w:lineRule="exact"/>
        <w:ind w:firstLine="700" w:firstLineChars="2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根据《中华人民共和国民法典》及</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采购项目（项目编号：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2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tc>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合同总价为人民币_______元（大写：________）。该合同总价包括采购文件规定的其它费用，即“包干价”。本合同执行期间合同总价不变，甲方无须另向乙方支付本合同规定之外的其他任何费用。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4.接受项目行业管理部门及有关部门的指导，接受甲方的监督。</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天以上，双方应通过友好协商，确定是否继续履行合同。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2.合同执行中涉及采购资金和采购内容修改或补充的，须经采购监管部门审批，并签书面补充协议报采购监督管理部门备案，方可作为主合同不可分割的一部分。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w:t>
      </w:r>
      <w:r>
        <w:rPr>
          <w:rFonts w:hint="eastAsia" w:ascii="方正仿宋_GBK" w:hAnsi="方正仿宋_GBK" w:eastAsia="方正仿宋_GBK" w:cs="方正仿宋_GBK"/>
          <w:sz w:val="28"/>
          <w:szCs w:val="28"/>
          <w:u w:val="single"/>
        </w:rPr>
        <w:t>肆</w:t>
      </w:r>
      <w:r>
        <w:rPr>
          <w:rFonts w:hint="eastAsia" w:ascii="方正仿宋_GBK" w:hAnsi="方正仿宋_GBK" w:eastAsia="方正仿宋_GBK" w:cs="方正仿宋_GBK"/>
          <w:sz w:val="28"/>
          <w:szCs w:val="28"/>
        </w:rPr>
        <w:t>份，自双方签章之日起起效。甲方</w:t>
      </w:r>
      <w:r>
        <w:rPr>
          <w:rFonts w:hint="eastAsia" w:ascii="方正仿宋_GBK" w:hAnsi="方正仿宋_GBK" w:eastAsia="方正仿宋_GBK" w:cs="方正仿宋_GBK"/>
          <w:sz w:val="28"/>
          <w:szCs w:val="28"/>
          <w:u w:val="single"/>
        </w:rPr>
        <w:t>贰</w:t>
      </w:r>
      <w:r>
        <w:rPr>
          <w:rFonts w:hint="eastAsia" w:ascii="方正仿宋_GBK" w:hAnsi="方正仿宋_GBK" w:eastAsia="方正仿宋_GBK" w:cs="方正仿宋_GBK"/>
          <w:sz w:val="28"/>
          <w:szCs w:val="28"/>
        </w:rPr>
        <w:t>份，乙方</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份，采购代理机构</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份，具有同等法律效力。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spacing w:line="360" w:lineRule="auto"/>
        <w:rPr>
          <w:rFonts w:cs="方正仿宋_GBK"/>
          <w:szCs w:val="28"/>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57FE6E9E-63CF-4124-9A14-83C0A9411914}"/>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0F73F1B8-DF5B-427F-AE65-F7A3E792C18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ixA+bwwEAAJADAAAOAAAAAAAAAAEAIAAAAB4BAABkcnMvZTJvRG9jLnhtbFBL&#10;BQYAAAAABgAGAFkBAABTBQAAAAA=&#10;">
              <v:fill on="f" focussize="0,0"/>
              <v:stroke on="f"/>
              <v:imagedata o:title=""/>
              <o:lock v:ext="edit" aspectratio="f"/>
              <v:textbox inset="0mm,0mm,0mm,0mm" style="mso-fit-shape-to-text:t;">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HoUsQBAACQ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IgHoUsQBAACQAwAADgAAAAAAAAABACAAAAAeAQAAZHJzL2Uyb0RvYy54bWxQ&#10;SwUGAAAAAAYABgBZAQAAVAUAAAAA&#10;">
              <v:fill on="f" focussize="0,0"/>
              <v:stroke on="f"/>
              <v:imagedata o:title=""/>
              <o:lock v:ext="edit" aspectratio="f"/>
              <v:textbox inset="0mm,0mm,0mm,0mm" style="mso-fit-shape-to-text:t;">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XW4inwwEAAJADAAAOAAAAAAAAAAEAIAAAAB4BAABkcnMvZTJvRG9jLnhtbFBL&#10;BQYAAAAABgAGAFkBAABTBQAAAAA=&#10;">
              <v:fill on="f" focussize="0,0"/>
              <v:stroke on="f"/>
              <v:imagedata o:title=""/>
              <o:lock v:ext="edit" aspectratio="f"/>
              <v:textbox inset="0mm,0mm,0mm,0mm" style="mso-fit-shape-to-text:t;">
                <w:txbxContent>
                  <w:p>
                    <w:pPr>
                      <w:pStyle w:val="14"/>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00172A27"/>
    <w:rsid w:val="00000F91"/>
    <w:rsid w:val="00037576"/>
    <w:rsid w:val="0005506D"/>
    <w:rsid w:val="0008692D"/>
    <w:rsid w:val="0009541C"/>
    <w:rsid w:val="000A7E4C"/>
    <w:rsid w:val="000E4FF5"/>
    <w:rsid w:val="000F73D3"/>
    <w:rsid w:val="00143976"/>
    <w:rsid w:val="00153BCE"/>
    <w:rsid w:val="00167CE6"/>
    <w:rsid w:val="00172A27"/>
    <w:rsid w:val="001F37CB"/>
    <w:rsid w:val="00206DBB"/>
    <w:rsid w:val="0026214A"/>
    <w:rsid w:val="002726CF"/>
    <w:rsid w:val="00283C96"/>
    <w:rsid w:val="002E08B6"/>
    <w:rsid w:val="0032361A"/>
    <w:rsid w:val="003414E4"/>
    <w:rsid w:val="003552E3"/>
    <w:rsid w:val="0036110E"/>
    <w:rsid w:val="00364E25"/>
    <w:rsid w:val="00366455"/>
    <w:rsid w:val="003703BD"/>
    <w:rsid w:val="00384F52"/>
    <w:rsid w:val="00415BD4"/>
    <w:rsid w:val="00420F71"/>
    <w:rsid w:val="00450F1F"/>
    <w:rsid w:val="004A2BEE"/>
    <w:rsid w:val="004A52F3"/>
    <w:rsid w:val="004B6CB2"/>
    <w:rsid w:val="004E30E9"/>
    <w:rsid w:val="00503C59"/>
    <w:rsid w:val="00557F17"/>
    <w:rsid w:val="0056777F"/>
    <w:rsid w:val="005C3E06"/>
    <w:rsid w:val="005C70E9"/>
    <w:rsid w:val="00644CD9"/>
    <w:rsid w:val="006646F9"/>
    <w:rsid w:val="006827CA"/>
    <w:rsid w:val="00693D1B"/>
    <w:rsid w:val="006A40C1"/>
    <w:rsid w:val="006C22BB"/>
    <w:rsid w:val="006F38C5"/>
    <w:rsid w:val="007066AD"/>
    <w:rsid w:val="00715DF4"/>
    <w:rsid w:val="007300DC"/>
    <w:rsid w:val="00770FA3"/>
    <w:rsid w:val="007833BF"/>
    <w:rsid w:val="00795614"/>
    <w:rsid w:val="00804D29"/>
    <w:rsid w:val="00810441"/>
    <w:rsid w:val="008463FC"/>
    <w:rsid w:val="008734C4"/>
    <w:rsid w:val="00934D40"/>
    <w:rsid w:val="00955F54"/>
    <w:rsid w:val="0095786C"/>
    <w:rsid w:val="00967474"/>
    <w:rsid w:val="00990AC6"/>
    <w:rsid w:val="009D325E"/>
    <w:rsid w:val="009F13E7"/>
    <w:rsid w:val="009F5E0F"/>
    <w:rsid w:val="00A04325"/>
    <w:rsid w:val="00A211E0"/>
    <w:rsid w:val="00A67ABE"/>
    <w:rsid w:val="00A761F0"/>
    <w:rsid w:val="00AA4B45"/>
    <w:rsid w:val="00AF7A8E"/>
    <w:rsid w:val="00B21578"/>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A223A"/>
    <w:rsid w:val="00DD3A4D"/>
    <w:rsid w:val="00DE3C37"/>
    <w:rsid w:val="00DF4AE1"/>
    <w:rsid w:val="00DF6DF9"/>
    <w:rsid w:val="00E61771"/>
    <w:rsid w:val="00E65307"/>
    <w:rsid w:val="00EF3516"/>
    <w:rsid w:val="00F266E0"/>
    <w:rsid w:val="00F3624E"/>
    <w:rsid w:val="00F43515"/>
    <w:rsid w:val="00FA640A"/>
    <w:rsid w:val="00FE5A59"/>
    <w:rsid w:val="012F7855"/>
    <w:rsid w:val="016D3AE5"/>
    <w:rsid w:val="02D62D89"/>
    <w:rsid w:val="03861B50"/>
    <w:rsid w:val="045D1075"/>
    <w:rsid w:val="04DD5D12"/>
    <w:rsid w:val="04F43F68"/>
    <w:rsid w:val="051B3B9E"/>
    <w:rsid w:val="0526160E"/>
    <w:rsid w:val="05CE3DDC"/>
    <w:rsid w:val="066245DF"/>
    <w:rsid w:val="068A6D20"/>
    <w:rsid w:val="079601DB"/>
    <w:rsid w:val="07F114E2"/>
    <w:rsid w:val="0885360A"/>
    <w:rsid w:val="08FE129F"/>
    <w:rsid w:val="092C5F7A"/>
    <w:rsid w:val="09523172"/>
    <w:rsid w:val="0B1701D0"/>
    <w:rsid w:val="0B6F3378"/>
    <w:rsid w:val="0C132268"/>
    <w:rsid w:val="0D7F5D98"/>
    <w:rsid w:val="0D870F11"/>
    <w:rsid w:val="0DA3127A"/>
    <w:rsid w:val="0F1C059B"/>
    <w:rsid w:val="0F3B5904"/>
    <w:rsid w:val="0FE77FD2"/>
    <w:rsid w:val="107B3053"/>
    <w:rsid w:val="119C5E3E"/>
    <w:rsid w:val="121205B6"/>
    <w:rsid w:val="12F11306"/>
    <w:rsid w:val="12FC436D"/>
    <w:rsid w:val="13095F5B"/>
    <w:rsid w:val="136D0DF2"/>
    <w:rsid w:val="13D635A2"/>
    <w:rsid w:val="140E00D7"/>
    <w:rsid w:val="151D7482"/>
    <w:rsid w:val="15386E66"/>
    <w:rsid w:val="15610E6C"/>
    <w:rsid w:val="156F5A43"/>
    <w:rsid w:val="162163A6"/>
    <w:rsid w:val="167A2ABA"/>
    <w:rsid w:val="169D0B26"/>
    <w:rsid w:val="173F626C"/>
    <w:rsid w:val="177E4F12"/>
    <w:rsid w:val="17AF720B"/>
    <w:rsid w:val="17B43302"/>
    <w:rsid w:val="17BE22CA"/>
    <w:rsid w:val="18BD1C8B"/>
    <w:rsid w:val="19626C39"/>
    <w:rsid w:val="19707050"/>
    <w:rsid w:val="19846820"/>
    <w:rsid w:val="19A410F8"/>
    <w:rsid w:val="19FA389C"/>
    <w:rsid w:val="1A3D12D5"/>
    <w:rsid w:val="1A3D1DB9"/>
    <w:rsid w:val="1AEB1C42"/>
    <w:rsid w:val="1B180DD0"/>
    <w:rsid w:val="1B9A7C34"/>
    <w:rsid w:val="1BF105C9"/>
    <w:rsid w:val="1C9C271C"/>
    <w:rsid w:val="1CBB3DD5"/>
    <w:rsid w:val="1CEF1C9A"/>
    <w:rsid w:val="1E0279B1"/>
    <w:rsid w:val="1E6D5441"/>
    <w:rsid w:val="1ED8781E"/>
    <w:rsid w:val="1F631B25"/>
    <w:rsid w:val="1FBF5098"/>
    <w:rsid w:val="20564772"/>
    <w:rsid w:val="21951109"/>
    <w:rsid w:val="22471321"/>
    <w:rsid w:val="24410F93"/>
    <w:rsid w:val="246F40FD"/>
    <w:rsid w:val="24EF7CEA"/>
    <w:rsid w:val="24FC0B0B"/>
    <w:rsid w:val="25E12EF5"/>
    <w:rsid w:val="25E20968"/>
    <w:rsid w:val="28670769"/>
    <w:rsid w:val="28E0448E"/>
    <w:rsid w:val="292D0766"/>
    <w:rsid w:val="2A737F06"/>
    <w:rsid w:val="2A7B43AE"/>
    <w:rsid w:val="2BCD24B1"/>
    <w:rsid w:val="2C6F4557"/>
    <w:rsid w:val="2CF66676"/>
    <w:rsid w:val="2D4F5666"/>
    <w:rsid w:val="2D61111D"/>
    <w:rsid w:val="2D687FBF"/>
    <w:rsid w:val="2DD03B68"/>
    <w:rsid w:val="2E6D12FF"/>
    <w:rsid w:val="2EC33BE8"/>
    <w:rsid w:val="30B6379C"/>
    <w:rsid w:val="30E45A6F"/>
    <w:rsid w:val="314E571E"/>
    <w:rsid w:val="316E42C2"/>
    <w:rsid w:val="318339D6"/>
    <w:rsid w:val="31921B57"/>
    <w:rsid w:val="32244DFC"/>
    <w:rsid w:val="32FA17D0"/>
    <w:rsid w:val="33475D6B"/>
    <w:rsid w:val="33591463"/>
    <w:rsid w:val="335E433E"/>
    <w:rsid w:val="33AF2F9D"/>
    <w:rsid w:val="33F83171"/>
    <w:rsid w:val="34935741"/>
    <w:rsid w:val="359D3F45"/>
    <w:rsid w:val="36220C70"/>
    <w:rsid w:val="36950046"/>
    <w:rsid w:val="36E32390"/>
    <w:rsid w:val="37737FEE"/>
    <w:rsid w:val="378E5068"/>
    <w:rsid w:val="37BA58BB"/>
    <w:rsid w:val="3844757A"/>
    <w:rsid w:val="38A12410"/>
    <w:rsid w:val="38B913EA"/>
    <w:rsid w:val="399009B2"/>
    <w:rsid w:val="399A3BF6"/>
    <w:rsid w:val="39DB6221"/>
    <w:rsid w:val="39F51522"/>
    <w:rsid w:val="3A95314A"/>
    <w:rsid w:val="3AF13C3D"/>
    <w:rsid w:val="3B7965CD"/>
    <w:rsid w:val="3C315BF1"/>
    <w:rsid w:val="3C4C6EF3"/>
    <w:rsid w:val="3CA13BED"/>
    <w:rsid w:val="3D3C762E"/>
    <w:rsid w:val="3D596B10"/>
    <w:rsid w:val="3D5E0CEB"/>
    <w:rsid w:val="3E484760"/>
    <w:rsid w:val="3E8044ED"/>
    <w:rsid w:val="3E877309"/>
    <w:rsid w:val="3FB7125F"/>
    <w:rsid w:val="3FC1012F"/>
    <w:rsid w:val="3FF56653"/>
    <w:rsid w:val="401F7F1F"/>
    <w:rsid w:val="40F46C43"/>
    <w:rsid w:val="411848FF"/>
    <w:rsid w:val="41342993"/>
    <w:rsid w:val="41BD0482"/>
    <w:rsid w:val="41D23E80"/>
    <w:rsid w:val="42470BBB"/>
    <w:rsid w:val="42484FE9"/>
    <w:rsid w:val="42F81943"/>
    <w:rsid w:val="43972F00"/>
    <w:rsid w:val="44B72CCB"/>
    <w:rsid w:val="450A1E65"/>
    <w:rsid w:val="456B1D5E"/>
    <w:rsid w:val="45F279A9"/>
    <w:rsid w:val="46030BCD"/>
    <w:rsid w:val="4603126E"/>
    <w:rsid w:val="47743CD8"/>
    <w:rsid w:val="47A218BB"/>
    <w:rsid w:val="481F723A"/>
    <w:rsid w:val="482E1623"/>
    <w:rsid w:val="487F030A"/>
    <w:rsid w:val="48CB0DCD"/>
    <w:rsid w:val="490A4C4E"/>
    <w:rsid w:val="49293FC3"/>
    <w:rsid w:val="492A6869"/>
    <w:rsid w:val="49CD0D54"/>
    <w:rsid w:val="4A880170"/>
    <w:rsid w:val="4A9C3808"/>
    <w:rsid w:val="4AE14FD9"/>
    <w:rsid w:val="4B425273"/>
    <w:rsid w:val="4BF239BB"/>
    <w:rsid w:val="4C584F48"/>
    <w:rsid w:val="4C9269AF"/>
    <w:rsid w:val="4C964C57"/>
    <w:rsid w:val="4CC5453C"/>
    <w:rsid w:val="4D0A0F0D"/>
    <w:rsid w:val="4D73233C"/>
    <w:rsid w:val="4DF36DFD"/>
    <w:rsid w:val="4EE80B08"/>
    <w:rsid w:val="507A5F8E"/>
    <w:rsid w:val="5110327E"/>
    <w:rsid w:val="512D57DB"/>
    <w:rsid w:val="51B004A6"/>
    <w:rsid w:val="533320AD"/>
    <w:rsid w:val="53D73908"/>
    <w:rsid w:val="540B1A35"/>
    <w:rsid w:val="54EE4488"/>
    <w:rsid w:val="55266F3B"/>
    <w:rsid w:val="553E0876"/>
    <w:rsid w:val="559B4463"/>
    <w:rsid w:val="55CE6CAA"/>
    <w:rsid w:val="55E510AC"/>
    <w:rsid w:val="56442BBB"/>
    <w:rsid w:val="56AB19D2"/>
    <w:rsid w:val="572D1669"/>
    <w:rsid w:val="574B347F"/>
    <w:rsid w:val="57596A47"/>
    <w:rsid w:val="57BA4B5E"/>
    <w:rsid w:val="57D34819"/>
    <w:rsid w:val="57FC763E"/>
    <w:rsid w:val="5825522E"/>
    <w:rsid w:val="592D3CE7"/>
    <w:rsid w:val="5BF76D7E"/>
    <w:rsid w:val="5C157045"/>
    <w:rsid w:val="5C52370C"/>
    <w:rsid w:val="5E5E2B95"/>
    <w:rsid w:val="5EE428ED"/>
    <w:rsid w:val="5F9F09A2"/>
    <w:rsid w:val="60067EFC"/>
    <w:rsid w:val="601E51C7"/>
    <w:rsid w:val="60C254DF"/>
    <w:rsid w:val="613C20BE"/>
    <w:rsid w:val="61F75FB6"/>
    <w:rsid w:val="6247210C"/>
    <w:rsid w:val="62917AA2"/>
    <w:rsid w:val="62DE4402"/>
    <w:rsid w:val="62EC076F"/>
    <w:rsid w:val="6417097E"/>
    <w:rsid w:val="64801FB8"/>
    <w:rsid w:val="64C0359C"/>
    <w:rsid w:val="654A5C21"/>
    <w:rsid w:val="65553C89"/>
    <w:rsid w:val="65790D87"/>
    <w:rsid w:val="65FF07B9"/>
    <w:rsid w:val="661C0C7C"/>
    <w:rsid w:val="664F0CB2"/>
    <w:rsid w:val="69E93B36"/>
    <w:rsid w:val="6A4F3D78"/>
    <w:rsid w:val="6A536C94"/>
    <w:rsid w:val="6AB22299"/>
    <w:rsid w:val="6AFA5111"/>
    <w:rsid w:val="6B79024D"/>
    <w:rsid w:val="6BF449CD"/>
    <w:rsid w:val="6C045510"/>
    <w:rsid w:val="6C134AAA"/>
    <w:rsid w:val="6C7E24CF"/>
    <w:rsid w:val="6C960E8E"/>
    <w:rsid w:val="6D4D7655"/>
    <w:rsid w:val="6E7443B8"/>
    <w:rsid w:val="6F3C270D"/>
    <w:rsid w:val="6F762728"/>
    <w:rsid w:val="70375D6A"/>
    <w:rsid w:val="7045438D"/>
    <w:rsid w:val="706F1065"/>
    <w:rsid w:val="712A52FE"/>
    <w:rsid w:val="716F055D"/>
    <w:rsid w:val="7197506A"/>
    <w:rsid w:val="71B2536F"/>
    <w:rsid w:val="738108E5"/>
    <w:rsid w:val="73A32EF4"/>
    <w:rsid w:val="74675424"/>
    <w:rsid w:val="74886234"/>
    <w:rsid w:val="75AE4E70"/>
    <w:rsid w:val="78120D62"/>
    <w:rsid w:val="78927AFF"/>
    <w:rsid w:val="78F07D11"/>
    <w:rsid w:val="794F5518"/>
    <w:rsid w:val="79517126"/>
    <w:rsid w:val="795E03AD"/>
    <w:rsid w:val="7A6D41AF"/>
    <w:rsid w:val="7B533824"/>
    <w:rsid w:val="7B787792"/>
    <w:rsid w:val="7CA52CD0"/>
    <w:rsid w:val="7CC37FA4"/>
    <w:rsid w:val="7DA404B6"/>
    <w:rsid w:val="7DDD373D"/>
    <w:rsid w:val="7E3478FA"/>
    <w:rsid w:val="7E6D33A0"/>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9"/>
    <w:pPr>
      <w:keepNext/>
      <w:keepLines/>
      <w:outlineLvl w:val="0"/>
    </w:pPr>
    <w:rPr>
      <w:rFonts w:eastAsia="方正仿宋_GBK" w:cs="方正仿宋_GBK"/>
      <w:b/>
      <w:kern w:val="44"/>
      <w:sz w:val="32"/>
      <w:szCs w:val="32"/>
    </w:rPr>
  </w:style>
  <w:style w:type="paragraph" w:styleId="4">
    <w:name w:val="heading 2"/>
    <w:basedOn w:val="1"/>
    <w:next w:val="1"/>
    <w:link w:val="28"/>
    <w:autoRedefine/>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5">
    <w:name w:val="heading 3"/>
    <w:basedOn w:val="1"/>
    <w:next w:val="1"/>
    <w:link w:val="42"/>
    <w:autoRedefine/>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4"/>
    <w:basedOn w:val="1"/>
    <w:next w:val="1"/>
    <w:autoRedefine/>
    <w:qFormat/>
    <w:uiPriority w:val="0"/>
    <w:pPr>
      <w:keepNext/>
      <w:keepLines/>
      <w:spacing w:before="280" w:after="290" w:line="377" w:lineRule="auto"/>
      <w:textAlignment w:val="baseline"/>
    </w:pPr>
    <w:rPr>
      <w:rFonts w:ascii="等线 Light" w:eastAsia="等线 Light"/>
      <w:b/>
      <w:bCs/>
      <w:sz w:val="28"/>
      <w:szCs w:val="28"/>
    </w:rPr>
  </w:style>
  <w:style w:type="paragraph" w:styleId="6">
    <w:name w:val="toc 7"/>
    <w:basedOn w:val="1"/>
    <w:next w:val="1"/>
    <w:autoRedefine/>
    <w:unhideWhenUsed/>
    <w:qFormat/>
    <w:uiPriority w:val="39"/>
    <w:pPr>
      <w:ind w:left="2520" w:leftChars="1200"/>
    </w:pPr>
  </w:style>
  <w:style w:type="paragraph" w:styleId="7">
    <w:name w:val="Document Map"/>
    <w:basedOn w:val="1"/>
    <w:link w:val="34"/>
    <w:autoRedefine/>
    <w:unhideWhenUsed/>
    <w:qFormat/>
    <w:uiPriority w:val="99"/>
    <w:rPr>
      <w:rFonts w:ascii="宋体" w:eastAsia="宋体"/>
      <w:sz w:val="18"/>
      <w:szCs w:val="18"/>
    </w:rPr>
  </w:style>
  <w:style w:type="paragraph" w:styleId="8">
    <w:name w:val="Body Text 3"/>
    <w:basedOn w:val="1"/>
    <w:autoRedefine/>
    <w:qFormat/>
    <w:uiPriority w:val="0"/>
    <w:pPr>
      <w:widowControl/>
      <w:jc w:val="center"/>
    </w:pPr>
    <w:rPr>
      <w:sz w:val="10"/>
      <w:szCs w:val="10"/>
    </w:rPr>
  </w:style>
  <w:style w:type="paragraph" w:styleId="9">
    <w:name w:val="Body Text"/>
    <w:basedOn w:val="1"/>
    <w:link w:val="41"/>
    <w:qFormat/>
    <w:uiPriority w:val="0"/>
    <w:pPr>
      <w:spacing w:after="120"/>
    </w:pPr>
    <w:rPr>
      <w:rFonts w:ascii="Times New Roman" w:hAnsi="Times New Roman" w:eastAsia="宋体" w:cs="Times New Roman"/>
      <w:szCs w:val="24"/>
    </w:rPr>
  </w:style>
  <w:style w:type="paragraph" w:styleId="10">
    <w:name w:val="toc 5"/>
    <w:basedOn w:val="1"/>
    <w:next w:val="1"/>
    <w:autoRedefine/>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Balloon Text"/>
    <w:basedOn w:val="1"/>
    <w:link w:val="33"/>
    <w:autoRedefine/>
    <w:unhideWhenUsed/>
    <w:qFormat/>
    <w:uiPriority w:val="99"/>
    <w:rPr>
      <w:sz w:val="18"/>
      <w:szCs w:val="18"/>
    </w:rPr>
  </w:style>
  <w:style w:type="paragraph" w:styleId="14">
    <w:name w:val="footer"/>
    <w:basedOn w:val="1"/>
    <w:link w:val="30"/>
    <w:autoRedefine/>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autoRedefine/>
    <w:unhideWhenUsed/>
    <w:qFormat/>
    <w:uiPriority w:val="39"/>
    <w:pPr>
      <w:ind w:left="1260" w:leftChars="600"/>
    </w:pPr>
  </w:style>
  <w:style w:type="paragraph" w:styleId="18">
    <w:name w:val="Subtitle"/>
    <w:basedOn w:val="1"/>
    <w:next w:val="1"/>
    <w:autoRedefine/>
    <w:qFormat/>
    <w:uiPriority w:val="0"/>
    <w:rPr>
      <w:sz w:val="28"/>
    </w:rPr>
  </w:style>
  <w:style w:type="paragraph" w:styleId="19">
    <w:name w:val="toc 6"/>
    <w:basedOn w:val="1"/>
    <w:next w:val="1"/>
    <w:autoRedefine/>
    <w:unhideWhenUsed/>
    <w:qFormat/>
    <w:uiPriority w:val="39"/>
    <w:pPr>
      <w:ind w:left="2100" w:leftChars="1000"/>
    </w:pPr>
  </w:style>
  <w:style w:type="paragraph" w:styleId="20">
    <w:name w:val="toc 2"/>
    <w:basedOn w:val="1"/>
    <w:next w:val="1"/>
    <w:autoRedefine/>
    <w:unhideWhenUsed/>
    <w:qFormat/>
    <w:uiPriority w:val="39"/>
    <w:pPr>
      <w:ind w:left="420" w:leftChars="200"/>
    </w:pPr>
  </w:style>
  <w:style w:type="paragraph" w:styleId="21">
    <w:name w:val="toc 9"/>
    <w:basedOn w:val="1"/>
    <w:next w:val="1"/>
    <w:autoRedefine/>
    <w:unhideWhenUsed/>
    <w:qFormat/>
    <w:uiPriority w:val="39"/>
    <w:pPr>
      <w:ind w:left="3360" w:leftChars="1600"/>
    </w:pPr>
  </w:style>
  <w:style w:type="paragraph" w:styleId="22">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引用1"/>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7">
    <w:name w:val="Heading2"/>
    <w:basedOn w:val="1"/>
    <w:next w:val="1"/>
    <w:autoRedefine/>
    <w:semiHidden/>
    <w:qFormat/>
    <w:uiPriority w:val="0"/>
    <w:pPr>
      <w:keepNext/>
      <w:keepLines/>
      <w:spacing w:before="260" w:after="260" w:line="416" w:lineRule="auto"/>
    </w:pPr>
    <w:rPr>
      <w:rFonts w:ascii="Cambria" w:hAnsi="Cambria" w:cs="Times New Roman"/>
      <w:b/>
      <w:bCs/>
      <w:sz w:val="32"/>
      <w:szCs w:val="32"/>
    </w:rPr>
  </w:style>
  <w:style w:type="character" w:customStyle="1" w:styleId="28">
    <w:name w:val="标题 2 字符"/>
    <w:basedOn w:val="25"/>
    <w:link w:val="4"/>
    <w:autoRedefine/>
    <w:qFormat/>
    <w:uiPriority w:val="0"/>
    <w:rPr>
      <w:rFonts w:ascii="方正仿宋_GBK" w:hAnsi="方正仿宋_GBK" w:eastAsia="方正仿宋_GBK" w:cs="方正仿宋_GBK"/>
      <w:b/>
      <w:bCs/>
      <w:sz w:val="32"/>
      <w:szCs w:val="32"/>
    </w:rPr>
  </w:style>
  <w:style w:type="character" w:customStyle="1" w:styleId="29">
    <w:name w:val="正文文本 字符"/>
    <w:basedOn w:val="25"/>
    <w:autoRedefine/>
    <w:qFormat/>
    <w:uiPriority w:val="0"/>
    <w:rPr>
      <w:rFonts w:ascii="Times New Roman" w:hAnsi="Times New Roman" w:eastAsia="宋体" w:cs="Times New Roman"/>
      <w:szCs w:val="24"/>
    </w:rPr>
  </w:style>
  <w:style w:type="character" w:customStyle="1" w:styleId="30">
    <w:name w:val="页脚 字符"/>
    <w:basedOn w:val="25"/>
    <w:link w:val="14"/>
    <w:qFormat/>
    <w:uiPriority w:val="99"/>
    <w:rPr>
      <w:sz w:val="18"/>
      <w:szCs w:val="18"/>
    </w:rPr>
  </w:style>
  <w:style w:type="paragraph" w:customStyle="1" w:styleId="31">
    <w:name w:val="正文首行缩进两字符"/>
    <w:basedOn w:val="1"/>
    <w:autoRedefine/>
    <w:qFormat/>
    <w:uiPriority w:val="0"/>
    <w:pPr>
      <w:spacing w:line="360" w:lineRule="auto"/>
      <w:ind w:firstLine="200" w:firstLineChars="200"/>
    </w:pPr>
    <w:rPr>
      <w:rFonts w:ascii="Times New Roman" w:hAnsi="Times New Roman" w:eastAsia="宋体" w:cs="Times New Roman"/>
      <w:szCs w:val="24"/>
    </w:rPr>
  </w:style>
  <w:style w:type="character" w:customStyle="1" w:styleId="32">
    <w:name w:val="页眉 字符"/>
    <w:basedOn w:val="25"/>
    <w:link w:val="15"/>
    <w:semiHidden/>
    <w:qFormat/>
    <w:uiPriority w:val="99"/>
    <w:rPr>
      <w:kern w:val="2"/>
      <w:sz w:val="18"/>
      <w:szCs w:val="18"/>
    </w:rPr>
  </w:style>
  <w:style w:type="character" w:customStyle="1" w:styleId="33">
    <w:name w:val="批注框文本 字符"/>
    <w:basedOn w:val="25"/>
    <w:link w:val="13"/>
    <w:semiHidden/>
    <w:qFormat/>
    <w:uiPriority w:val="99"/>
    <w:rPr>
      <w:kern w:val="2"/>
      <w:sz w:val="18"/>
      <w:szCs w:val="18"/>
    </w:rPr>
  </w:style>
  <w:style w:type="character" w:customStyle="1" w:styleId="34">
    <w:name w:val="文档结构图 字符"/>
    <w:basedOn w:val="25"/>
    <w:link w:val="7"/>
    <w:semiHidden/>
    <w:qFormat/>
    <w:uiPriority w:val="99"/>
    <w:rPr>
      <w:rFonts w:ascii="宋体" w:eastAsia="宋体"/>
      <w:kern w:val="2"/>
      <w:sz w:val="18"/>
      <w:szCs w:val="18"/>
    </w:rPr>
  </w:style>
  <w:style w:type="character" w:customStyle="1" w:styleId="35">
    <w:name w:val="font61"/>
    <w:basedOn w:val="25"/>
    <w:autoRedefine/>
    <w:qFormat/>
    <w:uiPriority w:val="0"/>
    <w:rPr>
      <w:rFonts w:hint="eastAsia" w:ascii="宋体" w:hAnsi="宋体" w:eastAsia="宋体" w:cs="宋体"/>
      <w:color w:val="000000"/>
      <w:sz w:val="24"/>
      <w:szCs w:val="24"/>
      <w:u w:val="none"/>
    </w:rPr>
  </w:style>
  <w:style w:type="character" w:customStyle="1" w:styleId="36">
    <w:name w:val="font31"/>
    <w:basedOn w:val="25"/>
    <w:qFormat/>
    <w:uiPriority w:val="0"/>
    <w:rPr>
      <w:rFonts w:hint="eastAsia" w:ascii="Microsoft JhengHei" w:hAnsi="Microsoft JhengHei" w:eastAsia="Microsoft JhengHei" w:cs="Microsoft JhengHei"/>
      <w:color w:val="000000"/>
      <w:sz w:val="24"/>
      <w:szCs w:val="24"/>
      <w:u w:val="none"/>
    </w:rPr>
  </w:style>
  <w:style w:type="paragraph" w:customStyle="1" w:styleId="37">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8">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9">
    <w:name w:val="font01"/>
    <w:basedOn w:val="25"/>
    <w:qFormat/>
    <w:uiPriority w:val="0"/>
    <w:rPr>
      <w:rFonts w:hint="eastAsia" w:ascii="宋体" w:hAnsi="宋体" w:eastAsia="宋体" w:cs="宋体"/>
      <w:color w:val="000000"/>
      <w:sz w:val="18"/>
      <w:szCs w:val="18"/>
      <w:u w:val="none"/>
    </w:rPr>
  </w:style>
  <w:style w:type="paragraph" w:customStyle="1" w:styleId="40">
    <w:name w:val="列出段落1"/>
    <w:basedOn w:val="1"/>
    <w:qFormat/>
    <w:uiPriority w:val="1"/>
    <w:pPr>
      <w:spacing w:before="4"/>
      <w:ind w:left="440" w:firstLine="559"/>
    </w:pPr>
    <w:rPr>
      <w:rFonts w:ascii="方正仿宋_GBK" w:hAnsi="方正仿宋_GBK" w:eastAsia="方正仿宋_GBK" w:cs="方正仿宋_GBK"/>
      <w:lang w:val="zh-CN" w:bidi="zh-CN"/>
    </w:rPr>
  </w:style>
  <w:style w:type="character" w:customStyle="1" w:styleId="41">
    <w:name w:val="正文文本 字符1"/>
    <w:basedOn w:val="25"/>
    <w:link w:val="9"/>
    <w:qFormat/>
    <w:uiPriority w:val="0"/>
    <w:rPr>
      <w:rFonts w:hint="eastAsia" w:ascii="方正仿宋_GBK" w:hAnsi="方正仿宋_GBK" w:eastAsia="方正仿宋_GBK" w:cs="方正仿宋_GBK"/>
      <w:kern w:val="2"/>
      <w:sz w:val="28"/>
      <w:szCs w:val="22"/>
    </w:rPr>
  </w:style>
  <w:style w:type="character" w:customStyle="1" w:styleId="42">
    <w:name w:val="标题 3 字符"/>
    <w:basedOn w:val="25"/>
    <w:link w:val="5"/>
    <w:autoRedefine/>
    <w:qFormat/>
    <w:uiPriority w:val="0"/>
    <w:rPr>
      <w:rFonts w:hint="eastAsia" w:ascii="方正仿宋_GBK" w:hAnsi="方正仿宋_GBK" w:eastAsia="方正仿宋_GBK" w:cs="方正仿宋_GBK"/>
      <w:b/>
      <w:bCs/>
      <w:sz w:val="32"/>
      <w:szCs w:val="32"/>
    </w:rPr>
  </w:style>
  <w:style w:type="paragraph" w:customStyle="1" w:styleId="43">
    <w:name w:val="WPSOffice手动目录 1"/>
    <w:autoRedefine/>
    <w:qFormat/>
    <w:uiPriority w:val="0"/>
    <w:rPr>
      <w:rFonts w:ascii="Times New Roman" w:hAnsi="Times New Roman" w:eastAsia="宋体" w:cs="Times New Roman"/>
      <w:lang w:val="en-US" w:eastAsia="zh-CN" w:bidi="ar-SA"/>
    </w:rPr>
  </w:style>
  <w:style w:type="paragraph" w:styleId="44">
    <w:name w:val="List Paragraph"/>
    <w:basedOn w:val="1"/>
    <w:autoRedefine/>
    <w:unhideWhenUsed/>
    <w:qFormat/>
    <w:uiPriority w:val="99"/>
    <w:pPr>
      <w:ind w:firstLine="420" w:firstLineChars="200"/>
    </w:pPr>
  </w:style>
  <w:style w:type="paragraph" w:customStyle="1" w:styleId="45">
    <w:name w:val="Default"/>
    <w:autoRedefine/>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 w:type="paragraph" w:customStyle="1" w:styleId="46">
    <w:name w:val="Normal_1_0"/>
    <w:autoRedefine/>
    <w:qFormat/>
    <w:uiPriority w:val="0"/>
    <w:rPr>
      <w:rFonts w:ascii="宋体" w:hAnsi="宋体" w:eastAsia="宋体" w:cs="Times New Roman"/>
      <w:sz w:val="32"/>
      <w:szCs w:val="24"/>
      <w:lang w:val="en-US" w:eastAsia="zh-CN" w:bidi="ar-SA"/>
    </w:rPr>
  </w:style>
  <w:style w:type="paragraph" w:customStyle="1" w:styleId="47">
    <w:name w:val="正文格式"/>
    <w:basedOn w:val="1"/>
    <w:autoRedefine/>
    <w:qFormat/>
    <w:uiPriority w:val="0"/>
    <w:pPr>
      <w:adjustRightInd w:val="0"/>
      <w:snapToGrid w:val="0"/>
      <w:spacing w:line="400" w:lineRule="atLeast"/>
      <w:ind w:firstLine="482"/>
      <w:textAlignment w:val="baseline"/>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40</Pages>
  <Words>15022</Words>
  <Characters>16034</Characters>
  <Lines>143</Lines>
  <Paragraphs>40</Paragraphs>
  <TotalTime>1</TotalTime>
  <ScaleCrop>false</ScaleCrop>
  <LinksUpToDate>false</LinksUpToDate>
  <CharactersWithSpaces>17387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祁十七</cp:lastModifiedBy>
  <cp:lastPrinted>2024-01-31T02:49:00Z</cp:lastPrinted>
  <dcterms:modified xsi:type="dcterms:W3CDTF">2024-02-05T10:13:31Z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704894929_btnclosed</vt:lpwstr>
  </property>
  <property fmtid="{D5CDD505-2E9C-101B-9397-08002B2CF9AE}" pid="4" name="ICV">
    <vt:lpwstr>72AB5064FB6C4A9EB295758AEB450FB8_13</vt:lpwstr>
  </property>
</Properties>
</file>