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760095" cy="290830"/>
            <wp:effectExtent l="0" t="0" r="19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0" cstate="print"/>
                    <a:stretch>
                      <a:fillRect/>
                    </a:stretch>
                  </pic:blipFill>
                  <pic:spPr>
                    <a:xfrm>
                      <a:off x="0" y="0"/>
                      <a:ext cx="760095" cy="290830"/>
                    </a:xfrm>
                    <a:prstGeom prst="rect">
                      <a:avLst/>
                    </a:prstGeom>
                    <a:noFill/>
                    <a:ln w="9525">
                      <a:noFill/>
                    </a:ln>
                  </pic:spPr>
                </pic:pic>
              </a:graphicData>
            </a:graphic>
          </wp:inline>
        </w:drawing>
      </w:r>
    </w:p>
    <w:p>
      <w:pPr>
        <w:jc w:val="center"/>
        <w:rPr>
          <w:rFonts w:ascii="方正仿宋_GBK" w:hAnsi="方正仿宋_GBK" w:eastAsia="方正仿宋_GBK" w:cs="方正仿宋_GBK"/>
          <w:bCs/>
          <w:sz w:val="36"/>
          <w:szCs w:val="36"/>
        </w:rPr>
      </w:pPr>
    </w:p>
    <w:p>
      <w:pPr>
        <w:jc w:val="center"/>
        <w:rPr>
          <w:rFonts w:ascii="方正仿宋_GBK" w:hAnsi="方正仿宋_GBK" w:eastAsia="方正仿宋_GBK" w:cs="方正仿宋_GBK"/>
          <w:bCs/>
          <w:sz w:val="40"/>
          <w:szCs w:val="40"/>
        </w:rPr>
      </w:pPr>
      <w:r>
        <w:rPr>
          <w:rFonts w:hint="eastAsia" w:ascii="方正仿宋_GBK" w:hAnsi="方正仿宋_GBK" w:eastAsia="方正仿宋_GBK" w:cs="方正仿宋_GBK"/>
          <w:bCs/>
          <w:kern w:val="0"/>
          <w:sz w:val="40"/>
          <w:szCs w:val="40"/>
        </w:rPr>
        <w:t>项目编号：</w:t>
      </w:r>
      <w:r>
        <w:rPr>
          <w:rFonts w:hint="eastAsia" w:ascii="方正仿宋_GBK" w:hAnsi="方正仿宋_GBK" w:eastAsia="方正仿宋_GBK" w:cs="方正仿宋_GBK"/>
          <w:bCs/>
          <w:sz w:val="40"/>
          <w:szCs w:val="40"/>
        </w:rPr>
        <w:t>SCZJDL〔202</w:t>
      </w:r>
      <w:r>
        <w:rPr>
          <w:rFonts w:hint="eastAsia" w:ascii="方正仿宋_GBK" w:hAnsi="方正仿宋_GBK" w:eastAsia="方正仿宋_GBK" w:cs="方正仿宋_GBK"/>
          <w:bCs/>
          <w:sz w:val="40"/>
          <w:szCs w:val="40"/>
          <w:lang w:val="en-US" w:eastAsia="zh-CN"/>
        </w:rPr>
        <w:t>4</w:t>
      </w:r>
      <w:r>
        <w:rPr>
          <w:rFonts w:hint="eastAsia" w:ascii="方正仿宋_GBK" w:hAnsi="方正仿宋_GBK" w:eastAsia="方正仿宋_GBK" w:cs="方正仿宋_GBK"/>
          <w:bCs/>
          <w:sz w:val="40"/>
          <w:szCs w:val="40"/>
        </w:rPr>
        <w:t>〕</w:t>
      </w:r>
      <w:r>
        <w:rPr>
          <w:rFonts w:hint="eastAsia" w:ascii="方正仿宋_GBK" w:hAnsi="方正仿宋_GBK" w:eastAsia="方正仿宋_GBK" w:cs="方正仿宋_GBK"/>
          <w:bCs/>
          <w:sz w:val="40"/>
          <w:szCs w:val="40"/>
          <w:lang w:val="en-US" w:eastAsia="zh-CN"/>
        </w:rPr>
        <w:t>09</w:t>
      </w:r>
      <w:r>
        <w:rPr>
          <w:rFonts w:hint="eastAsia" w:ascii="方正仿宋_GBK" w:hAnsi="方正仿宋_GBK" w:eastAsia="方正仿宋_GBK" w:cs="方正仿宋_GBK"/>
          <w:bCs/>
          <w:sz w:val="40"/>
          <w:szCs w:val="40"/>
        </w:rPr>
        <w:t>号</w:t>
      </w:r>
    </w:p>
    <w:p>
      <w:pPr>
        <w:spacing w:line="360" w:lineRule="auto"/>
        <w:jc w:val="center"/>
        <w:rPr>
          <w:rFonts w:hint="eastAsia" w:ascii="方正仿宋_GBK" w:hAnsi="方正仿宋_GBK" w:eastAsia="方正仿宋_GBK" w:cs="方正仿宋_GBK"/>
          <w:sz w:val="40"/>
          <w:szCs w:val="40"/>
          <w:lang w:val="en-US" w:eastAsia="zh-CN"/>
        </w:rPr>
      </w:pPr>
      <w:r>
        <w:rPr>
          <w:rFonts w:hint="eastAsia" w:ascii="方正仿宋_GBK" w:hAnsi="方正仿宋_GBK" w:eastAsia="方正仿宋_GBK" w:cs="方正仿宋_GBK"/>
          <w:sz w:val="40"/>
          <w:szCs w:val="40"/>
          <w:lang w:val="en-US" w:eastAsia="zh-CN"/>
        </w:rPr>
        <w:t>巴中市公安局巴州区分局</w:t>
      </w:r>
    </w:p>
    <w:p>
      <w:pPr>
        <w:spacing w:line="360" w:lineRule="auto"/>
        <w:jc w:val="center"/>
        <w:rPr>
          <w:rFonts w:hint="eastAsia" w:ascii="方正仿宋_GBK" w:hAnsi="方正仿宋_GBK" w:eastAsia="方正仿宋_GBK" w:cs="方正仿宋_GBK"/>
          <w:sz w:val="40"/>
          <w:szCs w:val="40"/>
          <w:lang w:val="en-US" w:eastAsia="zh-CN"/>
        </w:rPr>
      </w:pPr>
      <w:r>
        <w:rPr>
          <w:rFonts w:hint="eastAsia" w:ascii="方正仿宋_GBK" w:hAnsi="方正仿宋_GBK" w:eastAsia="方正仿宋_GBK" w:cs="方正仿宋_GBK"/>
          <w:sz w:val="40"/>
          <w:szCs w:val="40"/>
          <w:lang w:val="en-US" w:eastAsia="zh-CN"/>
        </w:rPr>
        <w:t>警务执勤装备采购项目</w:t>
      </w:r>
    </w:p>
    <w:p>
      <w:pPr>
        <w:spacing w:line="360" w:lineRule="auto"/>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询价文件</w:t>
      </w:r>
    </w:p>
    <w:p>
      <w:pPr>
        <w:spacing w:line="360" w:lineRule="auto"/>
        <w:jc w:val="center"/>
        <w:rPr>
          <w:rFonts w:ascii="方正仿宋_GBK" w:hAnsi="方正仿宋_GBK" w:eastAsia="方正仿宋_GBK" w:cs="方正仿宋_GBK"/>
          <w:b/>
          <w:sz w:val="72"/>
          <w:szCs w:val="72"/>
        </w:rPr>
      </w:pPr>
    </w:p>
    <w:p>
      <w:pPr>
        <w:pStyle w:val="8"/>
        <w:rPr>
          <w:rFonts w:ascii="方正仿宋_GBK" w:hAnsi="方正仿宋_GBK" w:eastAsia="方正仿宋_GBK" w:cs="方正仿宋_GBK"/>
          <w:b/>
          <w:sz w:val="72"/>
          <w:szCs w:val="72"/>
        </w:rPr>
      </w:pPr>
    </w:p>
    <w:p>
      <w:pPr>
        <w:rPr>
          <w:rFonts w:ascii="方正仿宋_GBK" w:hAnsi="方正仿宋_GBK" w:eastAsia="方正仿宋_GBK" w:cs="方正仿宋_GBK"/>
          <w:b/>
          <w:sz w:val="72"/>
          <w:szCs w:val="72"/>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巴中市公安局巴州区分局</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sectPr>
          <w:headerReference r:id="rId3" w:type="default"/>
          <w:pgSz w:w="11906" w:h="16838"/>
          <w:pgMar w:top="1440" w:right="1803" w:bottom="1440" w:left="1803" w:header="851" w:footer="992" w:gutter="0"/>
          <w:cols w:space="720" w:num="1"/>
          <w:docGrid w:type="lines" w:linePitch="312" w:charSpace="0"/>
        </w:sect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4</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03</w:t>
      </w:r>
      <w:r>
        <w:rPr>
          <w:rFonts w:hint="eastAsia" w:ascii="方正仿宋_GBK" w:hAnsi="方正仿宋_GBK" w:eastAsia="方正仿宋_GBK" w:cs="方正仿宋_GBK"/>
          <w:bCs/>
          <w:sz w:val="32"/>
          <w:szCs w:val="32"/>
        </w:rPr>
        <w:t>月</w:t>
      </w:r>
    </w:p>
    <w:p>
      <w:pPr>
        <w:jc w:val="center"/>
        <w:rPr>
          <w:rFonts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sectPr>
          <w:footerReference r:id="rId4" w:type="default"/>
          <w:pgSz w:w="11906" w:h="16838"/>
          <w:pgMar w:top="1440" w:right="1803" w:bottom="1440" w:left="1803" w:header="851" w:footer="992" w:gutter="0"/>
          <w:pgNumType w:start="1"/>
          <w:cols w:space="720" w:num="1"/>
          <w:docGrid w:type="lines" w:linePitch="312" w:charSpace="0"/>
        </w:sectPr>
      </w:pPr>
    </w:p>
    <w:sdt>
      <w:sdtPr>
        <w:rPr>
          <w:rFonts w:hint="eastAsia" w:ascii="方正仿宋_GBK" w:hAnsi="方正仿宋_GBK" w:eastAsia="方正仿宋_GBK" w:cs="方正仿宋_GBK"/>
          <w:sz w:val="44"/>
          <w:szCs w:val="44"/>
        </w:rPr>
        <w:id w:val="147478925"/>
        <w:docPartObj>
          <w:docPartGallery w:val="Table of Contents"/>
          <w:docPartUnique/>
        </w:docPartObj>
      </w:sdtPr>
      <w:sdtEndPr>
        <w:rPr>
          <w:rFonts w:hint="eastAsia" w:ascii="方正仿宋_GBK" w:hAnsi="方正仿宋_GBK" w:eastAsia="方正仿宋_GBK" w:cs="方正仿宋_GBK"/>
          <w:sz w:val="28"/>
          <w:szCs w:val="28"/>
        </w:rPr>
      </w:sdtEndPr>
      <w:sdtContent>
        <w:p>
          <w:pPr>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目录</w:t>
          </w:r>
        </w:p>
        <w:p>
          <w:pPr>
            <w:pStyle w:val="15"/>
            <w:tabs>
              <w:tab w:val="right" w:leader="dot" w:pos="8306"/>
            </w:tabs>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fldChar w:fldCharType="begin"/>
          </w:r>
          <w:r>
            <w:instrText xml:space="preserve"> HYPERLINK \l "_Toc26089" </w:instrText>
          </w:r>
          <w: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_Toc26089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"_Toc19128" </w:instrText>
          </w:r>
          <w: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_Toc19128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"_Toc19098" </w:instrText>
          </w:r>
          <w:r>
            <w:fldChar w:fldCharType="separate"/>
          </w:r>
          <w:r>
            <w:rPr>
              <w:rFonts w:hint="eastAsia" w:ascii="方正仿宋_GBK" w:hAnsi="方正仿宋_GBK" w:eastAsia="方正仿宋_GBK" w:cs="方正仿宋_GBK"/>
              <w:sz w:val="28"/>
              <w:szCs w:val="28"/>
            </w:rPr>
            <w:t>三、采购需求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_Toc19098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"_Toc26097" </w:instrText>
          </w:r>
          <w:r>
            <w:fldChar w:fldCharType="separate"/>
          </w:r>
          <w:r>
            <w:rPr>
              <w:rFonts w:hint="eastAsia" w:ascii="方正仿宋_GBK" w:hAnsi="方正仿宋_GBK" w:eastAsia="方正仿宋_GBK" w:cs="方正仿宋_GBK"/>
              <w:sz w:val="28"/>
              <w:szCs w:val="28"/>
            </w:rPr>
            <w:t>四、响应文件要求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_Toc26097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"_Toc4386" </w:instrText>
          </w:r>
          <w:r>
            <w:fldChar w:fldCharType="separate"/>
          </w:r>
          <w:r>
            <w:rPr>
              <w:rFonts w:hint="eastAsia" w:ascii="方正仿宋_GBK" w:hAnsi="方正仿宋_GBK" w:eastAsia="方正仿宋_GBK" w:cs="方正仿宋_GBK"/>
              <w:sz w:val="28"/>
              <w:szCs w:val="28"/>
            </w:rPr>
            <w:t>五、响应文件格式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_Toc4386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"_Toc27996" </w:instrText>
          </w:r>
          <w:r>
            <w:fldChar w:fldCharType="separate"/>
          </w:r>
          <w:r>
            <w:rPr>
              <w:rFonts w:hint="eastAsia" w:ascii="方正仿宋_GBK" w:hAnsi="方正仿宋_GBK" w:eastAsia="方正仿宋_GBK" w:cs="方正仿宋_GBK"/>
              <w:sz w:val="28"/>
              <w:szCs w:val="28"/>
            </w:rPr>
            <w:t>六、确定成交供应商的原则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_Toc27996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"_Toc32506" </w:instrText>
          </w:r>
          <w:r>
            <w:fldChar w:fldCharType="separate"/>
          </w:r>
          <w:r>
            <w:rPr>
              <w:rFonts w:hint="eastAsia" w:ascii="方正仿宋_GBK" w:hAnsi="方正仿宋_GBK" w:eastAsia="方正仿宋_GBK" w:cs="方正仿宋_GBK"/>
              <w:sz w:val="28"/>
              <w:szCs w:val="28"/>
            </w:rPr>
            <w:t>七、文件获取方式、时间、地点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_Toc32506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"_Toc22573" </w:instrText>
          </w:r>
          <w:r>
            <w:fldChar w:fldCharType="separate"/>
          </w:r>
          <w:r>
            <w:rPr>
              <w:rFonts w:hint="eastAsia" w:ascii="方正仿宋_GBK" w:hAnsi="方正仿宋_GBK" w:eastAsia="方正仿宋_GBK" w:cs="方正仿宋_GBK"/>
              <w:sz w:val="28"/>
              <w:szCs w:val="28"/>
            </w:rPr>
            <w:t>八、递交响应文件截止时间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_Toc22573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"_Toc24476" </w:instrText>
          </w:r>
          <w:r>
            <w:fldChar w:fldCharType="separate"/>
          </w:r>
          <w:r>
            <w:rPr>
              <w:rFonts w:hint="eastAsia" w:ascii="方正仿宋_GBK" w:hAnsi="方正仿宋_GBK" w:eastAsia="方正仿宋_GBK" w:cs="方正仿宋_GBK"/>
              <w:sz w:val="28"/>
              <w:szCs w:val="28"/>
            </w:rPr>
            <w:t>九、递交响应文件地点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_Toc24476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"_Toc6315" </w:instrText>
          </w:r>
          <w:r>
            <w:fldChar w:fldCharType="separate"/>
          </w:r>
          <w:r>
            <w:rPr>
              <w:rFonts w:hint="eastAsia" w:ascii="方正仿宋_GBK" w:hAnsi="方正仿宋_GBK" w:eastAsia="方正仿宋_GBK" w:cs="方正仿宋_GBK"/>
              <w:sz w:val="28"/>
              <w:szCs w:val="28"/>
            </w:rPr>
            <w:t>十、代理服务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_Toc6315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"_Toc9760" </w:instrText>
          </w:r>
          <w:r>
            <w:fldChar w:fldCharType="separate"/>
          </w:r>
          <w:r>
            <w:rPr>
              <w:rFonts w:hint="eastAsia" w:ascii="方正仿宋_GBK" w:hAnsi="方正仿宋_GBK" w:eastAsia="方正仿宋_GBK" w:cs="方正仿宋_GBK"/>
              <w:sz w:val="28"/>
              <w:szCs w:val="28"/>
            </w:rPr>
            <w:t>十一、联系方式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_Toc9760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"_Toc8137" </w:instrText>
          </w:r>
          <w:r>
            <w:fldChar w:fldCharType="separate"/>
          </w:r>
          <w:r>
            <w:rPr>
              <w:rFonts w:hint="eastAsia" w:ascii="方正仿宋_GBK" w:hAnsi="方正仿宋_GBK" w:eastAsia="方正仿宋_GBK" w:cs="方正仿宋_GBK"/>
              <w:sz w:val="28"/>
              <w:szCs w:val="28"/>
            </w:rPr>
            <w:t>十二、询问、质疑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_Toc8137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rPr>
              <w:rFonts w:ascii="方正仿宋_GBK" w:hAnsi="方正仿宋_GBK" w:eastAsia="方正仿宋_GBK" w:cs="方正仿宋_GBK"/>
              <w:sz w:val="28"/>
              <w:szCs w:val="28"/>
            </w:rPr>
          </w:pPr>
          <w:r>
            <w:fldChar w:fldCharType="begin"/>
          </w:r>
          <w:r>
            <w:instrText xml:space="preserve"> HYPERLINK \l "_Toc10466" </w:instrText>
          </w:r>
          <w:r>
            <w:fldChar w:fldCharType="separate"/>
          </w:r>
          <w:r>
            <w:rPr>
              <w:rFonts w:hint="eastAsia" w:ascii="方正仿宋_GBK" w:hAnsi="方正仿宋_GBK" w:eastAsia="方正仿宋_GBK" w:cs="方正仿宋_GBK"/>
              <w:sz w:val="28"/>
              <w:szCs w:val="28"/>
            </w:rPr>
            <w:t>十三、保证金及履约保证金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_Toc10466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tabs>
              <w:tab w:val="right" w:leader="dot" w:pos="8306"/>
            </w:tabs>
          </w:pPr>
          <w:r>
            <w:fldChar w:fldCharType="begin"/>
          </w:r>
          <w:r>
            <w:instrText xml:space="preserve"> HYPERLINK \l "_Toc22218" </w:instrText>
          </w:r>
          <w:r>
            <w:fldChar w:fldCharType="separate"/>
          </w:r>
          <w:r>
            <w:rPr>
              <w:rFonts w:hint="eastAsia" w:ascii="方正仿宋_GBK" w:hAnsi="方正仿宋_GBK" w:eastAsia="方正仿宋_GBK" w:cs="方正仿宋_GBK"/>
              <w:sz w:val="28"/>
              <w:szCs w:val="28"/>
            </w:rPr>
            <w:t>十四、合同草案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_Toc22218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spacing w:line="5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sdtContent>
    </w:sdt>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val="en-US" w:eastAsia="zh-CN"/>
        </w:rPr>
        <w:t>巴中市公安局巴州区分局</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lang w:val="en-US" w:eastAsia="zh-CN"/>
        </w:rPr>
        <w:t>巴中市公安局巴州区分局警务执勤装备采购项目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询价方式</w:t>
      </w:r>
      <w:r>
        <w:rPr>
          <w:rFonts w:hint="eastAsia" w:ascii="方正仿宋_GBK" w:hAnsi="方正仿宋_GBK" w:eastAsia="方正仿宋_GBK" w:cs="方正仿宋_GBK"/>
          <w:sz w:val="28"/>
          <w:szCs w:val="28"/>
        </w:rPr>
        <w:t>进行采购，特邀请符合本次采购要求的供应商参加报价。</w:t>
      </w:r>
    </w:p>
    <w:p>
      <w:pPr>
        <w:pStyle w:val="2"/>
        <w:rPr>
          <w:rFonts w:ascii="方正仿宋_GBK" w:hAnsi="方正仿宋_GBK"/>
          <w:sz w:val="28"/>
          <w:szCs w:val="28"/>
        </w:rPr>
      </w:pPr>
      <w:bookmarkStart w:id="0" w:name="_Toc26089"/>
      <w:bookmarkStart w:id="1" w:name="_Toc24469"/>
      <w:bookmarkStart w:id="2" w:name="_Toc8806"/>
      <w:r>
        <w:rPr>
          <w:rFonts w:hint="eastAsia" w:ascii="方正仿宋_GBK" w:hAnsi="方正仿宋_GBK"/>
          <w:sz w:val="28"/>
          <w:szCs w:val="28"/>
        </w:rPr>
        <w:t>一、采购项目基本情况</w:t>
      </w:r>
      <w:bookmarkEnd w:id="0"/>
      <w:bookmarkEnd w:id="1"/>
      <w:bookmarkEnd w:id="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09</w:t>
      </w:r>
      <w:r>
        <w:rPr>
          <w:rFonts w:hint="eastAsia" w:ascii="方正仿宋_GBK" w:hAnsi="方正仿宋_GBK" w:eastAsia="方正仿宋_GBK" w:cs="方正仿宋_GBK"/>
          <w:sz w:val="28"/>
          <w:szCs w:val="28"/>
        </w:rPr>
        <w:t>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w:t>
      </w:r>
      <w:r>
        <w:rPr>
          <w:rFonts w:hint="eastAsia" w:ascii="方正仿宋_GBK" w:hAnsi="方正仿宋_GBK" w:eastAsia="方正仿宋_GBK" w:cs="方正仿宋_GBK"/>
          <w:sz w:val="28"/>
          <w:szCs w:val="28"/>
          <w:u w:val="none"/>
          <w:lang w:val="en-US" w:eastAsia="zh-CN"/>
        </w:rPr>
        <w:t>巴中市公安局巴州区分局警务执勤装备采购项目</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w:t>
      </w:r>
      <w:r>
        <w:rPr>
          <w:rFonts w:hint="eastAsia" w:ascii="方正仿宋_GBK" w:hAnsi="方正仿宋_GBK" w:eastAsia="方正仿宋_GBK" w:cs="方正仿宋_GBK"/>
          <w:b/>
          <w:bCs/>
          <w:sz w:val="28"/>
          <w:szCs w:val="28"/>
          <w:u w:val="single"/>
        </w:rPr>
        <w:t>专门</w:t>
      </w:r>
      <w:r>
        <w:rPr>
          <w:rFonts w:hint="eastAsia" w:ascii="方正仿宋_GBK" w:hAnsi="方正仿宋_GBK" w:eastAsia="方正仿宋_GBK" w:cs="方正仿宋_GBK"/>
          <w:sz w:val="28"/>
          <w:szCs w:val="28"/>
        </w:rPr>
        <w:t>面向中小企业</w:t>
      </w:r>
      <w:r>
        <w:rPr>
          <w:rFonts w:hint="eastAsia" w:ascii="方正仿宋_GBK" w:hAnsi="方正仿宋_GBK" w:eastAsia="方正仿宋_GBK" w:cs="方正仿宋_GBK"/>
          <w:sz w:val="28"/>
          <w:szCs w:val="28"/>
          <w:lang w:eastAsia="zh-CN"/>
        </w:rPr>
        <w:t>采购</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4、采购人：</w:t>
      </w:r>
      <w:r>
        <w:rPr>
          <w:rFonts w:hint="eastAsia" w:ascii="方正仿宋_GBK" w:hAnsi="方正仿宋_GBK" w:eastAsia="方正仿宋_GBK" w:cs="方正仿宋_GBK"/>
          <w:sz w:val="28"/>
          <w:szCs w:val="28"/>
          <w:lang w:val="en-US" w:eastAsia="zh-CN"/>
        </w:rPr>
        <w:t>巴中市公安局巴州区分局</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5、采购代理机构：四川振嘉工程招标代理有限公司。</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6、公告方式：本项目采购公告在四川振嘉工程招标代理有限公司网站发布。</w:t>
      </w:r>
    </w:p>
    <w:p>
      <w:pPr>
        <w:pStyle w:val="8"/>
        <w:ind w:firstLine="562" w:firstLineChars="200"/>
      </w:pPr>
      <w:r>
        <w:rPr>
          <w:rFonts w:hint="eastAsia" w:ascii="方正仿宋_GBK" w:hAnsi="方正仿宋_GBK" w:eastAsia="方正仿宋_GBK" w:cs="方正仿宋_GBK"/>
          <w:b/>
          <w:bCs/>
          <w:sz w:val="28"/>
          <w:szCs w:val="28"/>
        </w:rPr>
        <w:t>本项目所属行业：</w:t>
      </w:r>
      <w:r>
        <w:rPr>
          <w:rFonts w:hint="eastAsia" w:ascii="方正仿宋_GBK" w:hAnsi="方正仿宋_GBK" w:eastAsia="方正仿宋_GBK" w:cs="方正仿宋_GBK"/>
          <w:b/>
          <w:bCs/>
          <w:sz w:val="28"/>
          <w:szCs w:val="28"/>
          <w:lang w:eastAsia="zh-CN"/>
        </w:rPr>
        <w:t>工业</w:t>
      </w:r>
      <w:r>
        <w:rPr>
          <w:rFonts w:hint="eastAsia" w:ascii="方正仿宋_GBK" w:hAnsi="方正仿宋_GBK" w:eastAsia="方正仿宋_GBK" w:cs="方正仿宋_GBK"/>
          <w:b/>
          <w:bCs/>
          <w:sz w:val="28"/>
          <w:szCs w:val="28"/>
        </w:rPr>
        <w:t>。</w:t>
      </w:r>
    </w:p>
    <w:p>
      <w:pPr>
        <w:pStyle w:val="2"/>
        <w:rPr>
          <w:rFonts w:ascii="方正仿宋_GBK" w:hAnsi="方正仿宋_GBK"/>
          <w:sz w:val="28"/>
          <w:szCs w:val="28"/>
        </w:rPr>
      </w:pPr>
      <w:bookmarkStart w:id="3" w:name="_Toc11689"/>
      <w:bookmarkStart w:id="4" w:name="_Toc9111"/>
      <w:bookmarkStart w:id="5" w:name="_Toc19128"/>
      <w:r>
        <w:rPr>
          <w:rFonts w:hint="eastAsia" w:ascii="方正仿宋_GBK" w:hAnsi="方正仿宋_GBK"/>
          <w:sz w:val="28"/>
          <w:szCs w:val="28"/>
        </w:rPr>
        <w:t>二、资金情况</w:t>
      </w:r>
      <w:bookmarkEnd w:id="3"/>
      <w:bookmarkEnd w:id="4"/>
      <w:bookmarkEnd w:id="5"/>
    </w:p>
    <w:p>
      <w:pPr>
        <w:ind w:right="31" w:rightChars="15"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sz w:val="28"/>
          <w:szCs w:val="28"/>
        </w:rPr>
        <w:t>资金来源及控制金额：</w:t>
      </w:r>
      <w:r>
        <w:rPr>
          <w:rFonts w:hint="eastAsia" w:ascii="方正仿宋_GBK" w:hAnsi="方正仿宋_GBK" w:eastAsia="方正仿宋_GBK" w:cs="方正仿宋_GBK"/>
          <w:color w:val="000000" w:themeColor="text1"/>
          <w:sz w:val="28"/>
          <w:szCs w:val="28"/>
          <w14:textFill>
            <w14:solidFill>
              <w14:schemeClr w14:val="tx1"/>
            </w14:solidFill>
          </w14:textFill>
        </w:rPr>
        <w:t>财政资金，</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控制价288730.00元(大写：贰拾捌万捌仟柒佰叁拾元整)；</w:t>
      </w:r>
    </w:p>
    <w:p>
      <w:pPr>
        <w:pStyle w:val="2"/>
        <w:rPr>
          <w:rFonts w:ascii="方正仿宋_GBK" w:hAnsi="方正仿宋_GBK"/>
          <w:sz w:val="28"/>
          <w:szCs w:val="28"/>
        </w:rPr>
      </w:pPr>
      <w:bookmarkStart w:id="6" w:name="_Toc23227"/>
      <w:bookmarkStart w:id="7" w:name="_Toc19098"/>
      <w:bookmarkStart w:id="8" w:name="_Toc16580"/>
      <w:r>
        <w:rPr>
          <w:rFonts w:hint="eastAsia" w:ascii="方正仿宋_GBK" w:hAnsi="方正仿宋_GBK"/>
          <w:sz w:val="28"/>
          <w:szCs w:val="28"/>
        </w:rPr>
        <w:t>三、采购需求</w:t>
      </w:r>
      <w:bookmarkEnd w:id="6"/>
      <w:bookmarkEnd w:id="7"/>
      <w:bookmarkEnd w:id="8"/>
    </w:p>
    <w:p>
      <w:pPr>
        <w:pStyle w:val="3"/>
        <w:rPr>
          <w:sz w:val="28"/>
          <w:szCs w:val="28"/>
        </w:rPr>
      </w:pPr>
      <w:bookmarkStart w:id="9" w:name="_Toc24269"/>
      <w:r>
        <w:rPr>
          <w:rFonts w:hint="eastAsia"/>
          <w:sz w:val="28"/>
          <w:szCs w:val="28"/>
        </w:rPr>
        <w:t>（</w:t>
      </w:r>
      <w:r>
        <w:rPr>
          <w:rFonts w:hint="eastAsia"/>
          <w:sz w:val="28"/>
          <w:szCs w:val="28"/>
          <w:lang w:eastAsia="zh-CN"/>
        </w:rPr>
        <w:t>一</w:t>
      </w:r>
      <w:r>
        <w:rPr>
          <w:rFonts w:hint="eastAsia"/>
          <w:sz w:val="28"/>
          <w:szCs w:val="28"/>
        </w:rPr>
        <w:t>）技术、服务要求</w:t>
      </w:r>
      <w:bookmarkEnd w:id="9"/>
    </w:p>
    <w:tbl>
      <w:tblPr>
        <w:tblStyle w:val="23"/>
        <w:tblW w:w="851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71"/>
        <w:gridCol w:w="4643"/>
        <w:gridCol w:w="102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43" w:type="dxa"/>
          </w:tcPr>
          <w:p>
            <w:pPr>
              <w:jc w:val="center"/>
              <w:rPr>
                <w:rFonts w:hint="eastAsia" w:ascii="仿宋" w:hAnsi="仿宋" w:eastAsia="仿宋" w:cs="仿宋"/>
                <w:sz w:val="24"/>
                <w:szCs w:val="24"/>
                <w:u w:val="none"/>
                <w:vertAlign w:val="baseline"/>
                <w:lang w:eastAsia="zh-CN"/>
              </w:rPr>
            </w:pPr>
            <w:bookmarkStart w:id="10" w:name="_Toc26097"/>
            <w:bookmarkStart w:id="11" w:name="_Toc8612"/>
            <w:bookmarkStart w:id="12" w:name="_Toc31196"/>
            <w:r>
              <w:rPr>
                <w:rFonts w:hint="eastAsia" w:ascii="仿宋" w:hAnsi="仿宋" w:eastAsia="仿宋" w:cs="仿宋"/>
                <w:sz w:val="24"/>
                <w:szCs w:val="24"/>
                <w:u w:val="none"/>
                <w:vertAlign w:val="baseline"/>
                <w:lang w:eastAsia="zh-CN"/>
              </w:rPr>
              <w:t>序号</w:t>
            </w:r>
          </w:p>
        </w:tc>
        <w:tc>
          <w:tcPr>
            <w:tcW w:w="1171"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名称</w:t>
            </w:r>
          </w:p>
        </w:tc>
        <w:tc>
          <w:tcPr>
            <w:tcW w:w="4643"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产品参数</w:t>
            </w:r>
          </w:p>
        </w:tc>
        <w:tc>
          <w:tcPr>
            <w:tcW w:w="1028"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数量</w:t>
            </w:r>
          </w:p>
        </w:tc>
        <w:tc>
          <w:tcPr>
            <w:tcW w:w="929"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43"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1</w:t>
            </w:r>
          </w:p>
        </w:tc>
        <w:tc>
          <w:tcPr>
            <w:tcW w:w="117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1"/>
                <w:szCs w:val="21"/>
                <w:u w:val="none"/>
                <w:vertAlign w:val="baseline"/>
                <w:lang w:val="en-US" w:eastAsia="zh-CN"/>
              </w:rPr>
              <w:t>执勤背心（含装具）</w:t>
            </w:r>
          </w:p>
        </w:tc>
        <w:tc>
          <w:tcPr>
            <w:tcW w:w="4643" w:type="dxa"/>
            <w:vAlign w:val="top"/>
          </w:tcPr>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1.面料：采用加密高弹丝锦纶耐磨防紫外线凌状网孔面料；</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2.主体面料撕力：经向≥3500N，纬向≥3700N；</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3.附件包包含：新标手铐包，甩棍包，手电包，催泪包，，对讲机包，每个单元模块可快拨，可互换位置；</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4.腰部可以调节大小；</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5.肩部可以调节长短；</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6.配备molle系统，附件包可任意挂扣；</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7.molle系统与快拔组件挂头能兼容（2.5cm挂件）</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8.拉链采用环保超低音特殊工艺，且有磁吸功能，拉链开或闭时音量≤27分贝，且有磁吸功能 ，磁力范围≤18mm，因带磁吸功能可以延长拉链使用次数，频次≥10000次；</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9.肩部采用三明治透气网面料；</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10.腰部采用最新独特工艺，7档调节系统，最大调节尺寸为280mm；</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11.网状面料采用最新的环循体孔位；</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12.标识模块采用植物粉反光技术；</w:t>
            </w:r>
          </w:p>
          <w:p>
            <w:pPr>
              <w:keepNext w:val="0"/>
              <w:keepLines w:val="0"/>
              <w:widowControl/>
              <w:suppressLineNumbers w:val="0"/>
              <w:jc w:val="left"/>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1"/>
                <w:szCs w:val="21"/>
                <w:u w:val="none"/>
                <w:vertAlign w:val="baseline"/>
                <w:lang w:val="en-US" w:eastAsia="zh-CN"/>
              </w:rPr>
              <w:t>13.前胸和后背标识可以根据采购人要求定制字样。</w:t>
            </w:r>
          </w:p>
        </w:tc>
        <w:tc>
          <w:tcPr>
            <w:tcW w:w="1028" w:type="dxa"/>
            <w:vAlign w:val="center"/>
          </w:tcPr>
          <w:p>
            <w:pPr>
              <w:keepNext w:val="0"/>
              <w:keepLines w:val="0"/>
              <w:widowControl/>
              <w:suppressLineNumbers w:val="0"/>
              <w:jc w:val="center"/>
              <w:textAlignment w:val="center"/>
              <w:rPr>
                <w:rFonts w:hint="eastAsia" w:ascii="仿宋" w:hAnsi="仿宋" w:eastAsia="仿宋" w:cs="仿宋"/>
                <w:sz w:val="24"/>
                <w:szCs w:val="24"/>
                <w:u w:val="none"/>
                <w:vertAlign w:val="baseline"/>
                <w:lang w:val="en-US"/>
              </w:rPr>
            </w:pPr>
            <w:r>
              <w:rPr>
                <w:rFonts w:hint="eastAsia" w:ascii="仿宋" w:hAnsi="仿宋" w:eastAsia="仿宋" w:cs="仿宋"/>
                <w:i w:val="0"/>
                <w:iCs w:val="0"/>
                <w:color w:val="000000"/>
                <w:kern w:val="0"/>
                <w:sz w:val="24"/>
                <w:szCs w:val="24"/>
                <w:u w:val="none"/>
                <w:lang w:val="en-US" w:eastAsia="zh-CN" w:bidi="ar"/>
              </w:rPr>
              <w:t>650</w:t>
            </w:r>
          </w:p>
        </w:tc>
        <w:tc>
          <w:tcPr>
            <w:tcW w:w="929" w:type="dxa"/>
            <w:vAlign w:val="center"/>
          </w:tcPr>
          <w:p>
            <w:pPr>
              <w:keepNext w:val="0"/>
              <w:keepLines w:val="0"/>
              <w:widowControl/>
              <w:suppressLineNumbers w:val="0"/>
              <w:jc w:val="center"/>
              <w:textAlignment w:val="center"/>
              <w:rPr>
                <w:rFonts w:hint="eastAsia" w:ascii="仿宋" w:hAnsi="仿宋" w:eastAsia="仿宋" w:cs="仿宋"/>
                <w:sz w:val="24"/>
                <w:szCs w:val="24"/>
                <w:u w:val="none"/>
                <w:vertAlign w:val="baseline"/>
              </w:rPr>
            </w:pPr>
            <w:r>
              <w:rPr>
                <w:rFonts w:hint="eastAsia" w:ascii="仿宋" w:hAnsi="仿宋" w:eastAsia="仿宋" w:cs="仿宋"/>
                <w:i w:val="0"/>
                <w:iCs w:val="0"/>
                <w:color w:val="000000"/>
                <w:kern w:val="0"/>
                <w:sz w:val="24"/>
                <w:szCs w:val="24"/>
                <w:u w:val="none"/>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43"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w:t>
            </w:r>
          </w:p>
        </w:tc>
        <w:tc>
          <w:tcPr>
            <w:tcW w:w="1171" w:type="dxa"/>
          </w:tcPr>
          <w:p>
            <w:pPr>
              <w:jc w:val="center"/>
              <w:rPr>
                <w:rFonts w:hint="eastAsia" w:ascii="仿宋" w:hAnsi="仿宋" w:eastAsia="仿宋" w:cs="仿宋"/>
                <w:sz w:val="24"/>
                <w:szCs w:val="24"/>
                <w:u w:val="none"/>
                <w:vertAlign w:val="baseline"/>
              </w:rPr>
            </w:pPr>
            <w:r>
              <w:rPr>
                <w:rFonts w:hint="eastAsia" w:ascii="仿宋" w:hAnsi="仿宋" w:eastAsia="仿宋" w:cs="仿宋"/>
                <w:sz w:val="21"/>
                <w:szCs w:val="21"/>
                <w:u w:val="none"/>
                <w:vertAlign w:val="baseline"/>
                <w:lang w:val="en-US" w:eastAsia="zh-CN"/>
              </w:rPr>
              <w:t>肩灯</w:t>
            </w:r>
          </w:p>
        </w:tc>
        <w:tc>
          <w:tcPr>
            <w:tcW w:w="4643" w:type="dxa"/>
            <w:vAlign w:val="top"/>
          </w:tcPr>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1.整机尺寸:85（±2）mm*36（±2）mm*26（±2）mm；</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2.材质:PC+ ABS；</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3.主机重量:≤58g；</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4.工作温度：-20℃~60℃；</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5.工作模式:红蓝频闪、照明、电子哨、警报闪烁；</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6.供电模式：采用内置聚合物锂电池；</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7.电池参数:3.7~4.2V/≥500maH；</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8.供电方式:工作时间:&gt;13小时；</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9.充电接口：Type-C接口；</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10.充满电时间:≤2.5小时；</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11.充电方式:恒流涓流；</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12.防护等级：≥IP67；</w:t>
            </w:r>
          </w:p>
          <w:p>
            <w:pPr>
              <w:numPr>
                <w:ilvl w:val="0"/>
                <w:numId w:val="0"/>
              </w:num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13.固定方式：不锈钢背夹；</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1"/>
                <w:szCs w:val="21"/>
                <w:u w:val="none"/>
                <w:vertAlign w:val="baseline"/>
                <w:lang w:val="en-US" w:eastAsia="zh-CN"/>
              </w:rPr>
              <w:t>14.肩灯表面贴纸可以根据采购人要求定制。</w:t>
            </w:r>
          </w:p>
        </w:tc>
        <w:tc>
          <w:tcPr>
            <w:tcW w:w="1028" w:type="dxa"/>
            <w:vAlign w:val="center"/>
          </w:tcPr>
          <w:p>
            <w:pPr>
              <w:keepNext w:val="0"/>
              <w:keepLines w:val="0"/>
              <w:widowControl/>
              <w:suppressLineNumbers w:val="0"/>
              <w:jc w:val="center"/>
              <w:textAlignment w:val="center"/>
              <w:rPr>
                <w:rFonts w:hint="eastAsia" w:ascii="仿宋" w:hAnsi="仿宋" w:eastAsia="仿宋" w:cs="仿宋"/>
                <w:sz w:val="24"/>
                <w:szCs w:val="24"/>
                <w:u w:val="none"/>
                <w:vertAlign w:val="baseline"/>
                <w:lang w:val="en-US"/>
              </w:rPr>
            </w:pPr>
            <w:r>
              <w:rPr>
                <w:rFonts w:hint="eastAsia" w:ascii="仿宋" w:hAnsi="仿宋" w:eastAsia="仿宋" w:cs="仿宋"/>
                <w:i w:val="0"/>
                <w:iCs w:val="0"/>
                <w:color w:val="000000"/>
                <w:kern w:val="0"/>
                <w:sz w:val="24"/>
                <w:szCs w:val="24"/>
                <w:u w:val="none"/>
                <w:lang w:val="en-US" w:eastAsia="zh-CN" w:bidi="ar"/>
              </w:rPr>
              <w:t>650</w:t>
            </w:r>
          </w:p>
        </w:tc>
        <w:tc>
          <w:tcPr>
            <w:tcW w:w="929" w:type="dxa"/>
            <w:vAlign w:val="center"/>
          </w:tcPr>
          <w:p>
            <w:pPr>
              <w:keepNext w:val="0"/>
              <w:keepLines w:val="0"/>
              <w:widowControl/>
              <w:suppressLineNumbers w:val="0"/>
              <w:jc w:val="center"/>
              <w:textAlignment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743" w:type="dxa"/>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3</w:t>
            </w:r>
          </w:p>
        </w:tc>
        <w:tc>
          <w:tcPr>
            <w:tcW w:w="1171" w:type="dxa"/>
          </w:tcPr>
          <w:p>
            <w:pPr>
              <w:jc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可视门铃</w:t>
            </w:r>
          </w:p>
          <w:p>
            <w:pPr>
              <w:jc w:val="both"/>
              <w:rPr>
                <w:rFonts w:hint="eastAsia" w:ascii="仿宋" w:hAnsi="仿宋" w:eastAsia="仿宋" w:cs="仿宋"/>
                <w:sz w:val="24"/>
                <w:szCs w:val="24"/>
                <w:u w:val="none"/>
                <w:vertAlign w:val="baseline"/>
                <w:lang w:eastAsia="zh-CN"/>
              </w:rPr>
            </w:pPr>
          </w:p>
        </w:tc>
        <w:tc>
          <w:tcPr>
            <w:tcW w:w="4643" w:type="dxa"/>
            <w:vAlign w:val="top"/>
          </w:tcPr>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1.门铃尺寸：128 x60 x23.5mm；</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2.门铃电池容量：≥5200mAh (TYP)；</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3.门铃额定输入：5V --- 2A；</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4.门铃夜视灯：940nm红外灯；</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5.门铃语音系统：双向语音；</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6.门铃工作温度-10°C~45°C；</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7.门铃工作湿度10%-90%RH，无冷凝；</w:t>
            </w:r>
          </w:p>
          <w:p>
            <w:pPr>
              <w:jc w:val="left"/>
              <w:rPr>
                <w:rFonts w:hint="eastAsia" w:ascii="仿宋" w:hAnsi="仿宋" w:eastAsia="仿宋" w:cs="仿宋"/>
                <w:sz w:val="21"/>
                <w:szCs w:val="21"/>
                <w:u w:val="none"/>
                <w:vertAlign w:val="baseline"/>
                <w:lang w:val="en-US" w:eastAsia="zh-CN"/>
              </w:rPr>
            </w:pPr>
            <w:r>
              <w:rPr>
                <w:rFonts w:hint="eastAsia" w:ascii="仿宋" w:hAnsi="仿宋" w:eastAsia="仿宋" w:cs="仿宋"/>
                <w:sz w:val="21"/>
                <w:szCs w:val="21"/>
                <w:u w:val="none"/>
                <w:vertAlign w:val="baseline"/>
                <w:lang w:val="en-US" w:eastAsia="zh-CN"/>
              </w:rPr>
              <w:t>8.显示尺寸：≥3.97英寸；</w:t>
            </w:r>
          </w:p>
          <w:p>
            <w:pPr>
              <w:keepNext w:val="0"/>
              <w:keepLines w:val="0"/>
              <w:widowControl/>
              <w:suppressLineNumbers w:val="0"/>
              <w:jc w:val="left"/>
              <w:textAlignment w:val="top"/>
              <w:rPr>
                <w:rFonts w:hint="eastAsia" w:ascii="仿宋" w:hAnsi="仿宋" w:eastAsia="仿宋" w:cs="仿宋"/>
                <w:sz w:val="24"/>
                <w:szCs w:val="24"/>
                <w:u w:val="none"/>
                <w:vertAlign w:val="baseline"/>
              </w:rPr>
            </w:pPr>
            <w:r>
              <w:rPr>
                <w:rFonts w:hint="eastAsia" w:ascii="仿宋" w:hAnsi="仿宋" w:eastAsia="仿宋" w:cs="仿宋"/>
                <w:sz w:val="21"/>
                <w:szCs w:val="21"/>
                <w:u w:val="none"/>
                <w:vertAlign w:val="baseline"/>
                <w:lang w:val="en-US" w:eastAsia="zh-CN"/>
              </w:rPr>
              <w:t>9.显示分辨率：≥800×480 像素。</w:t>
            </w:r>
          </w:p>
        </w:tc>
        <w:tc>
          <w:tcPr>
            <w:tcW w:w="1028" w:type="dxa"/>
            <w:vAlign w:val="center"/>
          </w:tcPr>
          <w:p>
            <w:pPr>
              <w:keepNext w:val="0"/>
              <w:keepLines w:val="0"/>
              <w:widowControl/>
              <w:suppressLineNumbers w:val="0"/>
              <w:jc w:val="center"/>
              <w:textAlignment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24</w:t>
            </w:r>
          </w:p>
        </w:tc>
        <w:tc>
          <w:tcPr>
            <w:tcW w:w="929" w:type="dxa"/>
            <w:vAlign w:val="center"/>
          </w:tcPr>
          <w:p>
            <w:pPr>
              <w:keepNext w:val="0"/>
              <w:keepLines w:val="0"/>
              <w:widowControl/>
              <w:suppressLineNumbers w:val="0"/>
              <w:jc w:val="center"/>
              <w:textAlignment w:val="center"/>
              <w:rPr>
                <w:rFonts w:hint="eastAsia" w:ascii="仿宋" w:hAnsi="仿宋" w:eastAsia="仿宋" w:cs="仿宋"/>
                <w:sz w:val="24"/>
                <w:szCs w:val="24"/>
                <w:u w:val="none"/>
                <w:vertAlign w:val="baseline"/>
                <w:lang w:eastAsia="zh-CN"/>
              </w:rPr>
            </w:pPr>
            <w:r>
              <w:rPr>
                <w:rFonts w:hint="eastAsia" w:ascii="仿宋" w:hAnsi="仿宋" w:eastAsia="仿宋" w:cs="仿宋"/>
                <w:sz w:val="24"/>
                <w:szCs w:val="24"/>
                <w:u w:val="none"/>
                <w:vertAlign w:val="baseline"/>
                <w:lang w:eastAsia="zh-CN"/>
              </w:rPr>
              <w:t>套</w:t>
            </w:r>
          </w:p>
        </w:tc>
      </w:tr>
    </w:tbl>
    <w:p>
      <w:pPr>
        <w:ind w:firstLine="562" w:firstLineChars="200"/>
        <w:outlineLvl w:val="0"/>
        <w:rPr>
          <w:rFonts w:hint="eastAsia" w:ascii="方正仿宋_GBK" w:hAnsi="方正仿宋_GBK" w:eastAsia="方正仿宋_GBK" w:cs="方正仿宋_GBK"/>
          <w:b/>
          <w:bCs/>
          <w:color w:val="000000"/>
          <w:sz w:val="28"/>
          <w:szCs w:val="28"/>
        </w:rPr>
      </w:pPr>
    </w:p>
    <w:p>
      <w:pPr>
        <w:ind w:firstLine="562" w:firstLineChars="200"/>
        <w:outlineLvl w:val="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sz w:val="28"/>
          <w:szCs w:val="28"/>
        </w:rPr>
        <w:t>四、商务要求</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1.交货时间及地点</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（1）交货时间:</w:t>
      </w:r>
      <w:r>
        <w:rPr>
          <w:rFonts w:hint="eastAsia" w:ascii="方正仿宋_GBK" w:hAnsi="方正仿宋_GBK" w:eastAsia="方正仿宋_GBK" w:cs="方正仿宋_GBK"/>
          <w:color w:val="000000" w:themeColor="text1"/>
          <w:sz w:val="28"/>
          <w:szCs w:val="28"/>
          <w14:textFill>
            <w14:solidFill>
              <w14:schemeClr w14:val="tx1"/>
            </w14:solidFill>
          </w14:textFill>
        </w:rPr>
        <w:t>合同签订</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后</w:t>
      </w:r>
      <w:r>
        <w:rPr>
          <w:rFonts w:hint="eastAsia" w:ascii="方正仿宋_GBK" w:hAnsi="方正仿宋_GBK" w:eastAsia="方正仿宋_GBK" w:cs="方正仿宋_GBK"/>
          <w:color w:val="auto"/>
          <w:sz w:val="28"/>
          <w:szCs w:val="28"/>
          <w:lang w:val="en-US" w:eastAsia="zh-CN"/>
        </w:rPr>
        <w:t>15个自然天</w:t>
      </w:r>
      <w:r>
        <w:rPr>
          <w:rFonts w:hint="eastAsia" w:ascii="方正仿宋_GBK" w:hAnsi="方正仿宋_GBK" w:eastAsia="方正仿宋_GBK" w:cs="方正仿宋_GBK"/>
          <w:color w:val="000000" w:themeColor="text1"/>
          <w:sz w:val="28"/>
          <w:szCs w:val="28"/>
          <w14:textFill>
            <w14:solidFill>
              <w14:schemeClr w14:val="tx1"/>
            </w14:solidFill>
          </w14:textFill>
        </w:rPr>
        <w:t>内完成</w:t>
      </w:r>
      <w:r>
        <w:rPr>
          <w:rFonts w:hint="eastAsia" w:ascii="方正仿宋_GBK" w:hAnsi="方正仿宋_GBK" w:eastAsia="方正仿宋_GBK" w:cs="方正仿宋_GBK"/>
          <w:kern w:val="0"/>
          <w:sz w:val="28"/>
          <w:szCs w:val="28"/>
        </w:rPr>
        <w:t>。</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（2）交货地点:采购人指定地点。</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2.报价要求</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color w:val="000000" w:themeColor="text1"/>
          <w:sz w:val="28"/>
          <w14:textFill>
            <w14:solidFill>
              <w14:schemeClr w14:val="tx1"/>
            </w14:solidFill>
          </w14:textFill>
        </w:rPr>
        <w:t>此项目报价应是最终验收合格后的总价，其总价即为履行合同的固定价格。</w:t>
      </w:r>
      <w:r>
        <w:rPr>
          <w:rFonts w:hint="eastAsia" w:ascii="方正仿宋_GBK" w:hAnsi="方正仿宋_GBK" w:eastAsia="方正仿宋_GBK" w:cs="方正仿宋_GBK"/>
          <w:color w:val="000000" w:themeColor="text1"/>
          <w:sz w:val="28"/>
          <w:lang w:eastAsia="zh-CN"/>
          <w14:textFill>
            <w14:solidFill>
              <w14:schemeClr w14:val="tx1"/>
            </w14:solidFill>
          </w14:textFill>
        </w:rPr>
        <w:t>包括、制作、生产、</w:t>
      </w:r>
      <w:r>
        <w:rPr>
          <w:rFonts w:hint="eastAsia" w:ascii="方正仿宋_GBK" w:hAnsi="方正仿宋_GBK" w:eastAsia="方正仿宋_GBK" w:cs="方正仿宋_GBK"/>
          <w:color w:val="000000" w:themeColor="text1"/>
          <w:sz w:val="28"/>
          <w14:textFill>
            <w14:solidFill>
              <w14:schemeClr w14:val="tx1"/>
            </w14:solidFill>
          </w14:textFill>
        </w:rPr>
        <w:t>运输、检验、相关税金等费用以及询价通知书规定的其他费用均应包含在报价中；</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3.售后服务要求：</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产品质量售后：产品使用时，出现质量问题，采购人做好记录并通知供应商，供应商应在</w:t>
      </w:r>
      <w:r>
        <w:rPr>
          <w:rFonts w:hint="eastAsia" w:ascii="方正仿宋_GBK" w:hAnsi="方正仿宋_GBK" w:eastAsia="方正仿宋_GBK" w:cs="方正仿宋_GBK"/>
          <w:kern w:val="0"/>
          <w:sz w:val="28"/>
          <w:szCs w:val="28"/>
          <w:lang w:val="en-US" w:eastAsia="zh-CN"/>
        </w:rPr>
        <w:t>1</w:t>
      </w:r>
      <w:r>
        <w:rPr>
          <w:rFonts w:hint="eastAsia" w:ascii="方正仿宋_GBK" w:hAnsi="方正仿宋_GBK" w:eastAsia="方正仿宋_GBK" w:cs="方正仿宋_GBK"/>
          <w:kern w:val="0"/>
          <w:sz w:val="28"/>
          <w:szCs w:val="28"/>
        </w:rPr>
        <w:t>小时内响应，</w:t>
      </w:r>
      <w:r>
        <w:rPr>
          <w:rFonts w:hint="eastAsia" w:ascii="方正仿宋_GBK" w:hAnsi="方正仿宋_GBK" w:eastAsia="方正仿宋_GBK" w:cs="方正仿宋_GBK"/>
          <w:kern w:val="0"/>
          <w:sz w:val="28"/>
          <w:szCs w:val="28"/>
          <w:lang w:val="en-US" w:eastAsia="zh-CN"/>
        </w:rPr>
        <w:t>4小时</w:t>
      </w:r>
      <w:r>
        <w:rPr>
          <w:rFonts w:hint="eastAsia" w:ascii="方正仿宋_GBK" w:hAnsi="方正仿宋_GBK" w:eastAsia="方正仿宋_GBK" w:cs="方正仿宋_GBK"/>
          <w:kern w:val="0"/>
          <w:sz w:val="28"/>
          <w:szCs w:val="28"/>
          <w:lang w:eastAsia="zh-CN"/>
        </w:rPr>
        <w:t>提出解决方案</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val="en-US" w:eastAsia="zh-CN"/>
        </w:rPr>
        <w:t>24</w:t>
      </w:r>
      <w:r>
        <w:rPr>
          <w:rFonts w:hint="eastAsia" w:ascii="方正仿宋_GBK" w:hAnsi="方正仿宋_GBK" w:eastAsia="方正仿宋_GBK" w:cs="方正仿宋_GBK"/>
          <w:kern w:val="0"/>
          <w:sz w:val="28"/>
          <w:szCs w:val="28"/>
        </w:rPr>
        <w:t>小时内解决问题。</w:t>
      </w:r>
    </w:p>
    <w:p>
      <w:pPr>
        <w:spacing w:line="360" w:lineRule="auto"/>
        <w:ind w:firstLine="560" w:firstLineChars="200"/>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rPr>
        <w:t>4.付款方式：</w:t>
      </w:r>
      <w:r>
        <w:rPr>
          <w:rFonts w:hint="eastAsia" w:ascii="方正仿宋_GBK" w:hAnsi="方正仿宋_GBK" w:eastAsia="方正仿宋_GBK" w:cs="方正仿宋_GBK"/>
          <w:kern w:val="0"/>
          <w:sz w:val="28"/>
          <w:szCs w:val="28"/>
          <w:lang w:eastAsia="zh-CN"/>
        </w:rPr>
        <w:t>签订合同时预付合同总价款的</w:t>
      </w:r>
      <w:r>
        <w:rPr>
          <w:rFonts w:hint="eastAsia" w:ascii="方正仿宋_GBK" w:hAnsi="方正仿宋_GBK" w:eastAsia="方正仿宋_GBK" w:cs="方正仿宋_GBK"/>
          <w:kern w:val="0"/>
          <w:sz w:val="28"/>
          <w:szCs w:val="28"/>
          <w:lang w:val="en-US" w:eastAsia="zh-CN"/>
        </w:rPr>
        <w:t>40%，交货完成并验收通过后支付合同总价款余下的60%。</w:t>
      </w:r>
    </w:p>
    <w:p>
      <w:pPr>
        <w:numPr>
          <w:ilvl w:val="0"/>
          <w:numId w:val="0"/>
        </w:numPr>
        <w:adjustRightInd w:val="0"/>
        <w:snapToGrid w:val="0"/>
        <w:spacing w:after="120" w:line="360" w:lineRule="auto"/>
        <w:ind w:firstLine="560" w:firstLineChars="200"/>
        <w:rPr>
          <w:rFonts w:ascii="方正仿宋_GBK" w:eastAsia="方正仿宋_GBK" w:cs="方正仿宋_GBK"/>
          <w:sz w:val="28"/>
          <w:szCs w:val="28"/>
        </w:rPr>
      </w:pPr>
      <w:r>
        <w:rPr>
          <w:rFonts w:hint="eastAsia" w:ascii="方正仿宋_GBK" w:eastAsia="方正仿宋_GBK" w:cs="方正仿宋_GBK"/>
          <w:sz w:val="28"/>
          <w:szCs w:val="28"/>
          <w:lang w:val="en-US" w:eastAsia="zh-CN"/>
        </w:rPr>
        <w:t>5.</w:t>
      </w:r>
      <w:r>
        <w:rPr>
          <w:rFonts w:hint="eastAsia" w:ascii="方正仿宋_GBK" w:eastAsia="方正仿宋_GBK" w:cs="方正仿宋_GBK"/>
          <w:sz w:val="28"/>
          <w:szCs w:val="28"/>
        </w:rPr>
        <w:t>供应商须提供全新的货物，产品必须完好无损，且权属清楚，不得侵害他人的知识产权。</w:t>
      </w:r>
    </w:p>
    <w:p>
      <w:pPr>
        <w:spacing w:line="360" w:lineRule="auto"/>
        <w:ind w:firstLine="560" w:firstLineChars="200"/>
        <w:rPr>
          <w:rFonts w:ascii="方正仿宋_GBK" w:eastAsia="方正仿宋_GBK" w:cs="方正仿宋_GBK"/>
          <w:sz w:val="28"/>
          <w:szCs w:val="28"/>
        </w:rPr>
      </w:pPr>
      <w:r>
        <w:rPr>
          <w:rFonts w:hint="eastAsia" w:ascii="方正仿宋_GBK" w:eastAsia="方正仿宋_GBK" w:cs="方正仿宋_GBK"/>
          <w:sz w:val="28"/>
          <w:szCs w:val="28"/>
          <w:lang w:val="en-US" w:eastAsia="zh-CN"/>
        </w:rPr>
        <w:t>6</w:t>
      </w:r>
      <w:r>
        <w:rPr>
          <w:rFonts w:hint="eastAsia" w:ascii="方正仿宋_GBK" w:eastAsia="方正仿宋_GBK" w:cs="方正仿宋_GBK"/>
          <w:sz w:val="28"/>
          <w:szCs w:val="28"/>
        </w:rPr>
        <w:t>.质保期1年，</w:t>
      </w:r>
      <w:r>
        <w:rPr>
          <w:rFonts w:ascii="方正仿宋_GBK" w:eastAsia="方正仿宋_GBK" w:cs="方正仿宋_GBK"/>
          <w:sz w:val="28"/>
          <w:szCs w:val="28"/>
        </w:rPr>
        <w:t>自验收合格之日计算，</w:t>
      </w:r>
      <w:r>
        <w:rPr>
          <w:rFonts w:hint="eastAsia" w:ascii="方正仿宋_GBK" w:eastAsia="方正仿宋_GBK" w:cs="方正仿宋_GBK"/>
          <w:sz w:val="28"/>
          <w:szCs w:val="28"/>
        </w:rPr>
        <w:t>质保期间非人为损坏</w:t>
      </w:r>
      <w:r>
        <w:rPr>
          <w:rFonts w:ascii="方正仿宋_GBK" w:eastAsia="方正仿宋_GBK" w:cs="方正仿宋_GBK"/>
          <w:sz w:val="28"/>
          <w:szCs w:val="28"/>
        </w:rPr>
        <w:t>成交供应商需</w:t>
      </w:r>
      <w:r>
        <w:rPr>
          <w:rFonts w:hint="eastAsia" w:ascii="方正仿宋_GBK" w:eastAsia="方正仿宋_GBK" w:cs="方正仿宋_GBK"/>
          <w:sz w:val="28"/>
          <w:szCs w:val="28"/>
          <w:lang w:val="en-US" w:eastAsia="zh-CN"/>
        </w:rPr>
        <w:t>24</w:t>
      </w:r>
      <w:r>
        <w:rPr>
          <w:rFonts w:ascii="方正仿宋_GBK" w:eastAsia="方正仿宋_GBK" w:cs="方正仿宋_GBK"/>
          <w:sz w:val="28"/>
          <w:szCs w:val="28"/>
        </w:rPr>
        <w:t>小时内</w:t>
      </w:r>
      <w:r>
        <w:rPr>
          <w:rFonts w:hint="eastAsia" w:ascii="方正仿宋_GBK" w:eastAsia="方正仿宋_GBK" w:cs="方正仿宋_GBK"/>
          <w:sz w:val="28"/>
          <w:szCs w:val="28"/>
        </w:rPr>
        <w:t>免费维修，</w:t>
      </w:r>
      <w:r>
        <w:rPr>
          <w:rFonts w:ascii="方正仿宋_GBK" w:eastAsia="方正仿宋_GBK" w:cs="方正仿宋_GBK"/>
          <w:sz w:val="28"/>
          <w:szCs w:val="28"/>
        </w:rPr>
        <w:t>两次维修后仍无法正常使用的成交供应商需3个工作日内</w:t>
      </w:r>
      <w:r>
        <w:rPr>
          <w:rFonts w:hint="eastAsia" w:ascii="方正仿宋_GBK" w:eastAsia="方正仿宋_GBK" w:cs="方正仿宋_GBK"/>
          <w:sz w:val="28"/>
          <w:szCs w:val="28"/>
        </w:rPr>
        <w:t>免费换新。</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7</w:t>
      </w:r>
      <w:r>
        <w:rPr>
          <w:rFonts w:hint="eastAsia" w:ascii="方正仿宋_GBK" w:hAnsi="方正仿宋_GBK" w:eastAsia="方正仿宋_GBK" w:cs="方正仿宋_GBK"/>
          <w:kern w:val="0"/>
          <w:sz w:val="28"/>
          <w:szCs w:val="28"/>
        </w:rPr>
        <w:t>.其余事项以合同约定为准。</w:t>
      </w:r>
    </w:p>
    <w:p>
      <w:pPr>
        <w:spacing w:line="360" w:lineRule="auto"/>
        <w:ind w:firstLine="562" w:firstLineChars="200"/>
        <w:outlineLvl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五、验收要求</w:t>
      </w:r>
    </w:p>
    <w:p>
      <w:pPr>
        <w:pStyle w:val="8"/>
        <w:ind w:firstLine="560" w:firstLineChars="200"/>
      </w:pPr>
      <w:r>
        <w:rPr>
          <w:rFonts w:hint="eastAsia" w:ascii="方正仿宋_GBK" w:hAnsi="方正仿宋_GBK" w:eastAsia="方正仿宋_GBK" w:cs="方正仿宋_GBK"/>
          <w:sz w:val="28"/>
          <w:szCs w:val="28"/>
        </w:rPr>
        <w:t>1.采购人验收根据《财政部关于进一步加强政府采购需求和履约验收管理的指导意见》(财库〔2016〕205号)和《巴中市财政局关于进一步加强政府采购项目合同履约验收管理工作的通知》（巴财采〔2021〕21号）的规定进行验收。</w:t>
      </w:r>
    </w:p>
    <w:p>
      <w:pPr>
        <w:pStyle w:val="2"/>
        <w:rPr>
          <w:rFonts w:ascii="方正仿宋_GBK" w:hAnsi="方正仿宋_GBK"/>
          <w:sz w:val="28"/>
          <w:szCs w:val="28"/>
        </w:rPr>
        <w:sectPr>
          <w:footerReference r:id="rId5" w:type="default"/>
          <w:pgSz w:w="11906" w:h="16838"/>
          <w:pgMar w:top="1440" w:right="1800" w:bottom="1440" w:left="1800" w:header="851" w:footer="992" w:gutter="0"/>
          <w:cols w:space="720" w:num="1"/>
          <w:docGrid w:type="lines" w:linePitch="312" w:charSpace="0"/>
        </w:sectPr>
      </w:pPr>
    </w:p>
    <w:p>
      <w:pPr>
        <w:pStyle w:val="2"/>
        <w:rPr>
          <w:rFonts w:ascii="方正仿宋_GBK" w:hAnsi="方正仿宋_GBK"/>
          <w:sz w:val="28"/>
          <w:szCs w:val="28"/>
        </w:rPr>
      </w:pPr>
      <w:r>
        <w:rPr>
          <w:rFonts w:hint="eastAsia" w:ascii="方正仿宋_GBK" w:hAnsi="方正仿宋_GBK"/>
          <w:sz w:val="28"/>
          <w:szCs w:val="28"/>
        </w:rPr>
        <w:t>四、响应文件要求</w:t>
      </w:r>
      <w:bookmarkEnd w:id="10"/>
      <w:bookmarkEnd w:id="11"/>
      <w:bookmarkEnd w:id="12"/>
    </w:p>
    <w:p>
      <w:pPr>
        <w:pStyle w:val="3"/>
        <w:rPr>
          <w:sz w:val="28"/>
          <w:szCs w:val="28"/>
        </w:rPr>
      </w:pPr>
      <w:r>
        <w:rPr>
          <w:rFonts w:hint="eastAsia"/>
          <w:sz w:val="28"/>
          <w:szCs w:val="28"/>
        </w:rPr>
        <w:t>（一）资格响应部分</w:t>
      </w:r>
    </w:p>
    <w:tbl>
      <w:tblPr>
        <w:tblStyle w:val="22"/>
        <w:tblW w:w="482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15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2155" w:type="dxa"/>
            <w:shd w:val="clear" w:color="auto" w:fill="FFFFFF"/>
            <w:vAlign w:val="center"/>
          </w:tcPr>
          <w:p>
            <w:pPr>
              <w:spacing w:line="52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资格要求</w:t>
            </w:r>
          </w:p>
        </w:tc>
        <w:tc>
          <w:tcPr>
            <w:tcW w:w="5388"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
                <w:bCs/>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具有独立承担民事责任的能力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1.供应商若为企业法人：提供“多证合一的营业执照”；若为事业法人：提供“统一社会信用代码法人登记证书”； 若为其他组织：提供“对应主管部门颁发的准许执业证明文件或营业执照或其他能够证明其依法有效存在的书面材料”； 若为自然人：提供“身份证明材料”；</w:t>
            </w:r>
          </w:p>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2.提供法定代表人/负责人身份证明书（含法定代表人/负责人身份证明材料）；</w:t>
            </w:r>
          </w:p>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3.供应商派出参加采购活动的代表不是法定代表人或负责人的，应提供授权代表的《授权委托书》及其身份证明材料。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具有良好的商业信誉和健全的财务会计制度</w:t>
            </w:r>
          </w:p>
        </w:tc>
        <w:tc>
          <w:tcPr>
            <w:tcW w:w="5388" w:type="dxa"/>
            <w:shd w:val="clear" w:color="auto" w:fill="FFFFFF"/>
            <w:vAlign w:val="center"/>
          </w:tcPr>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（1）提供具有良好商业信誉的承诺函；</w:t>
            </w:r>
          </w:p>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（2）提供财务状况报告（以下三任选其一）：</w:t>
            </w:r>
          </w:p>
          <w:p>
            <w:pPr>
              <w:spacing w:line="360" w:lineRule="auto"/>
              <w:jc w:val="left"/>
              <w:rPr>
                <w:rFonts w:ascii="方正仿宋_GBK" w:hAnsi="方正仿宋_GBK" w:eastAsia="方正仿宋_GBK" w:cs="方正仿宋_GBK"/>
              </w:rPr>
            </w:pPr>
            <w:r>
              <w:rPr>
                <w:rFonts w:hint="eastAsia" w:ascii="方正仿宋_GBK" w:hAnsi="方正仿宋_GBK" w:eastAsia="方正仿宋_GBK" w:cs="方正仿宋_GBK"/>
              </w:rPr>
              <w:t>a.提供202</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年度或202</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年度经会计师事务所审计的完整财务报告复印件或提供银行出具的有效期内的资信证明复印件；</w:t>
            </w:r>
          </w:p>
          <w:p>
            <w:pPr>
              <w:spacing w:line="360" w:lineRule="auto"/>
              <w:jc w:val="left"/>
              <w:rPr>
                <w:rFonts w:hint="default" w:eastAsia="方正仿宋_GBK"/>
                <w:lang w:val="en-US" w:eastAsia="zh-CN"/>
              </w:rPr>
            </w:pPr>
            <w:r>
              <w:rPr>
                <w:rFonts w:hint="eastAsia" w:ascii="方正仿宋_GBK" w:hAnsi="方正仿宋_GBK" w:eastAsia="方正仿宋_GBK" w:cs="方正仿宋_GBK"/>
              </w:rPr>
              <w:t>b.供应商注册时间至文件递交截止日不足一年的，提供在市场监督管理部门备案的公司章程(复印件)或提供其内部财务报表（至少包括资产负债表、利润表、现金流量表）；</w:t>
            </w:r>
            <w:r>
              <w:rPr>
                <w:rFonts w:hint="eastAsia" w:ascii="方正仿宋_GBK" w:hAnsi="方正仿宋_GBK" w:eastAsia="方正仿宋_GBK" w:cs="方正仿宋_GBK"/>
                <w:lang w:val="en-US" w:eastAsia="zh-CN"/>
              </w:rPr>
              <w:t>c.提供具有健全的财务会计制度的承诺函。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3</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具有履行合同所必需的设备和专业技术能力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提供承诺函或具有履行合同所必需的设备和专业技术能力的证明材料。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4</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有依法缴纳税收和社会保障资金的良好记录</w:t>
            </w:r>
          </w:p>
        </w:tc>
        <w:tc>
          <w:tcPr>
            <w:tcW w:w="5388" w:type="dxa"/>
            <w:shd w:val="clear" w:color="auto" w:fill="FFFFFF"/>
            <w:vAlign w:val="center"/>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（1）供应商提供</w:t>
            </w:r>
            <w:r>
              <w:rPr>
                <w:rFonts w:hint="eastAsia" w:ascii="方正仿宋_GBK" w:hAnsi="方正仿宋_GBK" w:eastAsia="方正仿宋_GBK" w:cs="方正仿宋_GBK"/>
                <w:szCs w:val="21"/>
                <w:lang w:eastAsia="zh-CN"/>
              </w:rPr>
              <w:t>承诺函或</w:t>
            </w:r>
            <w:r>
              <w:rPr>
                <w:rFonts w:hint="eastAsia" w:ascii="方正仿宋_GBK" w:hAnsi="方正仿宋_GBK" w:eastAsia="方正仿宋_GBK" w:cs="方正仿宋_GBK"/>
                <w:szCs w:val="21"/>
              </w:rPr>
              <w:t>递交响应文件截止日期之前12个月内任意连续三个月的缴纳税收的证明，零申报或依法免税的公司须提供相应文件证明，新成立不足三个月的公司按实际缴纳情况提供。</w:t>
            </w:r>
          </w:p>
          <w:p>
            <w:pPr>
              <w:spacing w:line="360" w:lineRule="auto"/>
              <w:rPr>
                <w:rFonts w:eastAsia="方正仿宋_GBK"/>
              </w:rPr>
            </w:pPr>
            <w:r>
              <w:rPr>
                <w:rFonts w:hint="eastAsia" w:ascii="方正仿宋_GBK" w:hAnsi="方正仿宋_GBK" w:eastAsia="方正仿宋_GBK" w:cs="方正仿宋_GBK"/>
                <w:szCs w:val="21"/>
              </w:rPr>
              <w:t>（2）供应商提供</w:t>
            </w:r>
            <w:r>
              <w:rPr>
                <w:rFonts w:hint="eastAsia" w:ascii="方正仿宋_GBK" w:hAnsi="方正仿宋_GBK" w:eastAsia="方正仿宋_GBK" w:cs="方正仿宋_GBK"/>
                <w:szCs w:val="21"/>
                <w:lang w:eastAsia="zh-CN"/>
              </w:rPr>
              <w:t>承诺函或</w:t>
            </w:r>
            <w:r>
              <w:rPr>
                <w:rFonts w:hint="eastAsia" w:ascii="方正仿宋_GBK" w:hAnsi="方正仿宋_GBK" w:eastAsia="方正仿宋_GBK" w:cs="方正仿宋_GBK"/>
                <w:szCs w:val="21"/>
              </w:rPr>
              <w:t>递交响应文件截止日期之前12个月内任意连续三个月的缴纳社保的证明，新成立不足三个月的公司按实际缴纳情况提供，不需要缴纳社会保障资金的公司须提供相应文件证明其不需要缴纳社会保障资金。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5</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参加本次政府采购活动前三年内，在经营活动中没有重大违法记录</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6</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法律、行政法规规定的其他条件</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7</w:t>
            </w:r>
          </w:p>
        </w:tc>
        <w:tc>
          <w:tcPr>
            <w:tcW w:w="2155" w:type="dxa"/>
            <w:shd w:val="clear" w:color="auto" w:fill="FFFFFF"/>
            <w:vAlign w:val="center"/>
          </w:tcPr>
          <w:p>
            <w:pPr>
              <w:spacing w:line="52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采购项目的特殊要求</w:t>
            </w:r>
          </w:p>
        </w:tc>
        <w:tc>
          <w:tcPr>
            <w:tcW w:w="5388" w:type="dxa"/>
            <w:shd w:val="clear" w:color="auto" w:fill="FFFFFF"/>
            <w:vAlign w:val="center"/>
          </w:tcPr>
          <w:p>
            <w:pPr>
              <w:spacing w:line="520" w:lineRule="exact"/>
              <w:jc w:val="left"/>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无。</w:t>
            </w:r>
          </w:p>
        </w:tc>
      </w:tr>
    </w:tbl>
    <w:p>
      <w:pPr>
        <w:pStyle w:val="3"/>
        <w:rPr>
          <w:sz w:val="28"/>
          <w:szCs w:val="28"/>
        </w:rPr>
      </w:pPr>
      <w:r>
        <w:rPr>
          <w:rFonts w:hint="eastAsia"/>
          <w:sz w:val="28"/>
          <w:szCs w:val="28"/>
        </w:rPr>
        <w:t>（二）技术、服务响应部分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（一）响应函；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（三）供应商基本情况表；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（四）技术、服务要求响应表；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（六）知识产权声明函；</w:t>
      </w:r>
    </w:p>
    <w:p>
      <w:pPr>
        <w:spacing w:line="360" w:lineRule="auto"/>
        <w:ind w:firstLine="560" w:firstLineChars="200"/>
        <w:rPr>
          <w:rFonts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rPr>
        <w:t>（七）其他本项目涉及的材料及供应商认为应提交的相关材料。</w:t>
      </w:r>
    </w:p>
    <w:p>
      <w:pPr>
        <w:pStyle w:val="3"/>
        <w:rPr>
          <w:sz w:val="28"/>
          <w:szCs w:val="28"/>
        </w:rPr>
      </w:pPr>
      <w:r>
        <w:rPr>
          <w:rFonts w:hint="eastAsia"/>
          <w:sz w:val="28"/>
          <w:szCs w:val="28"/>
        </w:rPr>
        <w:t>（三）报价表</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不制作于响应文件中</w:t>
      </w:r>
      <w:r>
        <w:rPr>
          <w:rFonts w:hint="eastAsia" w:ascii="方正仿宋_GBK" w:hAnsi="方正仿宋_GBK" w:eastAsia="方正仿宋_GBK" w:cs="方正仿宋_GBK"/>
          <w:sz w:val="28"/>
          <w:szCs w:val="28"/>
        </w:rPr>
        <w:t>。资格性、符合性通过的供应商，一次性报出不可更改的价格（自行准备密封袋，须盖供应商鲜章密封递交）。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：1、供应商应准备</w:t>
      </w:r>
      <w:r>
        <w:rPr>
          <w:rFonts w:hint="eastAsia" w:ascii="方正仿宋_GBK" w:hAnsi="方正仿宋_GBK" w:eastAsia="方正仿宋_GBK" w:cs="方正仿宋_GBK"/>
          <w:b/>
          <w:bCs/>
          <w:sz w:val="28"/>
          <w:szCs w:val="28"/>
        </w:rPr>
        <w:t>响应文件正本1份、副本2份、报价表1份</w:t>
      </w:r>
      <w:r>
        <w:rPr>
          <w:rFonts w:hint="eastAsia" w:ascii="方正仿宋_GBK" w:hAnsi="方正仿宋_GBK" w:eastAsia="方正仿宋_GBK" w:cs="方正仿宋_GBK"/>
          <w:sz w:val="28"/>
          <w:szCs w:val="28"/>
        </w:rPr>
        <w:t>。须注明项目编号、项目名称和供应商名称以及“正本”或“副本”字样。若正本和副本有不一致的内容，以正本书面响应文件为准。</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2、响应文件、报价表应分别单独包装、密封和标注（正副本应密封在一个密封袋内）。</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2"/>
        <w:spacing w:line="600" w:lineRule="exact"/>
        <w:rPr>
          <w:rFonts w:ascii="方正仿宋_GBK" w:hAnsi="方正仿宋_GBK"/>
          <w:kern w:val="2"/>
          <w:sz w:val="28"/>
          <w:szCs w:val="28"/>
        </w:rPr>
      </w:pPr>
      <w:bookmarkStart w:id="13" w:name="_Toc30731"/>
      <w:bookmarkStart w:id="14" w:name="_Toc1238"/>
      <w:bookmarkStart w:id="15" w:name="_Toc4386"/>
      <w:r>
        <w:rPr>
          <w:rFonts w:hint="eastAsia" w:ascii="方正仿宋_GBK" w:hAnsi="方正仿宋_GBK"/>
          <w:sz w:val="28"/>
          <w:szCs w:val="28"/>
        </w:rPr>
        <w:t>五、响应文件格式</w:t>
      </w:r>
      <w:bookmarkEnd w:id="13"/>
      <w:bookmarkEnd w:id="14"/>
      <w:bookmarkEnd w:id="15"/>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本章所制响应文件格式中需要填写的相关内容事项，可能会与本采购项目无关，在不改变响应文件原义、不影响本项目采购需求的情况下，供应商可以不予填写，但应当注明。</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3、响应文件正本和副本需要逐页编目编码并逐页加盖公章。（正本所盖公章应为鲜章）</w:t>
      </w:r>
    </w:p>
    <w:p>
      <w:pPr>
        <w:spacing w:line="500" w:lineRule="exact"/>
        <w:ind w:firstLine="560" w:firstLineChars="200"/>
        <w:rPr>
          <w:rFonts w:ascii="方正仿宋_GBK" w:hAnsi="方正仿宋_GBK" w:eastAsia="方正仿宋_GBK" w:cs="方正仿宋_GBK"/>
          <w:b/>
          <w:bCs/>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8"/>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3"/>
        <w:jc w:val="center"/>
      </w:pPr>
      <w:bookmarkStart w:id="16" w:name="_Toc15220"/>
      <w:r>
        <w:rPr>
          <w:rFonts w:hint="eastAsia"/>
        </w:rPr>
        <w:t>法定代表人/负责人身份证明书</w:t>
      </w:r>
      <w:bookmarkEnd w:id="16"/>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0"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有效的身份证复印件（身份证两面均应复印）。供应商的</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为外籍人士的，则需提供护照复印件。</w:t>
      </w:r>
    </w:p>
    <w:p>
      <w:pPr>
        <w:pStyle w:val="8"/>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3"/>
        <w:jc w:val="center"/>
      </w:pPr>
      <w:bookmarkStart w:id="17" w:name="_Toc111"/>
      <w:r>
        <w:rPr>
          <w:rFonts w:hint="eastAsia"/>
        </w:rPr>
        <w:t>授权委托书</w:t>
      </w:r>
      <w:bookmarkEnd w:id="17"/>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kern w:val="0"/>
          <w:sz w:val="28"/>
          <w:szCs w:val="28"/>
        </w:rPr>
        <w:t>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）询价采购活动的合法代表，以我方名义全权处理该项目有关询价、签订合同以及执行合同等一切事宜。本公司均予以认可并对此承担责任。授权代表无转委托权。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8"/>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18" w:name="OLE_LINK9"/>
      <w:r>
        <w:rPr>
          <w:rFonts w:hint="eastAsia" w:ascii="方正仿宋_GBK" w:hAnsi="方正仿宋_GBK" w:eastAsia="方正仿宋_GBK" w:cs="方正仿宋_GBK"/>
          <w:b/>
          <w:bCs/>
          <w:sz w:val="28"/>
          <w:szCs w:val="28"/>
        </w:rPr>
        <w:t>（1）</w:t>
      </w:r>
      <w:bookmarkEnd w:id="18"/>
      <w:r>
        <w:rPr>
          <w:rFonts w:hint="eastAsia" w:ascii="方正仿宋_GBK" w:hAnsi="方正仿宋_GBK" w:eastAsia="方正仿宋_GBK" w:cs="方正仿宋_GBK"/>
          <w:b/>
          <w:bCs/>
          <w:sz w:val="28"/>
          <w:szCs w:val="28"/>
        </w:rPr>
        <w:t>法定代表人/负责人标而委托代理人投标适用。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pgSz w:w="11906" w:h="16838"/>
          <w:pgMar w:top="1440" w:right="1800" w:bottom="1440" w:left="1800" w:header="851" w:footer="992" w:gutter="0"/>
          <w:cols w:space="720" w:num="1"/>
          <w:docGrid w:type="lines" w:linePitch="312" w:charSpace="0"/>
        </w:sectPr>
      </w:pPr>
    </w:p>
    <w:p>
      <w:pPr>
        <w:pStyle w:val="3"/>
        <w:jc w:val="center"/>
      </w:pPr>
      <w:r>
        <w:rPr>
          <w:rFonts w:hint="eastAsia"/>
        </w:rPr>
        <w:t>响应函</w:t>
      </w:r>
    </w:p>
    <w:p>
      <w:pPr>
        <w:spacing w:line="360" w:lineRule="auto"/>
        <w:rPr>
          <w:rFonts w:ascii="方正仿宋_GBK" w:hAnsi="方正仿宋_GBK" w:eastAsia="方正仿宋_GBK" w:cs="方正仿宋_GBK"/>
          <w:b/>
          <w:bCs/>
          <w:sz w:val="28"/>
        </w:rPr>
      </w:pPr>
      <w:r>
        <w:rPr>
          <w:rFonts w:hint="eastAsia" w:ascii="方正仿宋_GBK" w:hAnsi="方正仿宋_GBK" w:eastAsia="方正仿宋_GBK" w:cs="方正仿宋_GBK"/>
          <w:b/>
          <w:bCs/>
          <w:sz w:val="28"/>
        </w:rPr>
        <w:t>四川振嘉工程招标代理有限公司：</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 xml:space="preserve">1.我方全面研究了“ </w:t>
      </w:r>
      <w:r>
        <w:rPr>
          <w:rFonts w:hint="eastAsia" w:ascii="方正仿宋_GBK" w:hAnsi="方正仿宋_GBK" w:eastAsia="方正仿宋_GBK" w:cs="方正仿宋_GBK"/>
          <w:sz w:val="28"/>
          <w:u w:val="single"/>
        </w:rPr>
        <w:tab/>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”项目询价通知书（项目编号：</w:t>
      </w:r>
      <w:r>
        <w:rPr>
          <w:rFonts w:hint="eastAsia" w:ascii="方正仿宋_GBK" w:hAnsi="方正仿宋_GBK" w:eastAsia="方正仿宋_GBK" w:cs="方正仿宋_GBK"/>
          <w:sz w:val="28"/>
          <w:u w:val="single"/>
        </w:rPr>
        <w:tab/>
      </w:r>
      <w:r>
        <w:rPr>
          <w:rFonts w:hint="eastAsia" w:ascii="方正仿宋_GBK" w:hAnsi="方正仿宋_GBK" w:eastAsia="方正仿宋_GBK" w:cs="方正仿宋_GBK"/>
          <w:sz w:val="28"/>
        </w:rPr>
        <w:t>），决定参加贵单位组织的本项目询价采购。</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2.我方自愿按照询价通知书规定的各项要求向采购人提供所需货物，总报价以单独递交的报价表为主。</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3.一旦我方成交，我方将严格履行政府采购合同规定的责任和义务。</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4.我们已详细审核全部采购文件，包括文件修改书(如有)，参考资料及有关附件，我们完全理解并放弃提出含糊不清或误解的问题的权利。</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5.我方同意本询价通知书依据有关文件对我方可能存在的失信行为进行惩戒。</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6.我方为本项目提交的响应文件正本</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份，副本</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份；用于询价的报价表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rPr>
        <w:t>份。</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7.我方愿意提供贵单位可能另外要求的，与询价报价有关的文件资料，并保证我方已提供和将要提供的文件资料是真实、准确的。</w:t>
      </w:r>
    </w:p>
    <w:p>
      <w:pPr>
        <w:spacing w:line="480" w:lineRule="exact"/>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8.如果我方成交，我方保证按照询价通知书的规定向贵方交纳成交服务费。</w:t>
      </w:r>
    </w:p>
    <w:p>
      <w:pPr>
        <w:spacing w:line="480" w:lineRule="exact"/>
        <w:ind w:left="420" w:leftChars="200"/>
        <w:rPr>
          <w:rFonts w:ascii="方正仿宋_GBK" w:hAnsi="方正仿宋_GBK" w:eastAsia="方正仿宋_GBK" w:cs="方正仿宋_GBK"/>
          <w:sz w:val="28"/>
        </w:rPr>
      </w:pPr>
      <w:r>
        <w:rPr>
          <w:rFonts w:hint="eastAsia" w:ascii="方正仿宋_GBK" w:hAnsi="方正仿宋_GBK" w:eastAsia="方正仿宋_GBK" w:cs="方正仿宋_GBK"/>
          <w:sz w:val="28"/>
        </w:rPr>
        <w:t>9.本次询价，我方报价有效期为提交响应文件截止之日起</w:t>
      </w:r>
      <w:r>
        <w:rPr>
          <w:rFonts w:hint="eastAsia" w:ascii="方正仿宋_GBK" w:hAnsi="方正仿宋_GBK" w:eastAsia="方正仿宋_GBK" w:cs="方正仿宋_GBK"/>
          <w:sz w:val="28"/>
          <w:u w:val="single"/>
        </w:rPr>
        <w:t xml:space="preserve"> 90 </w:t>
      </w:r>
      <w:r>
        <w:rPr>
          <w:rFonts w:hint="eastAsia" w:ascii="方正仿宋_GBK" w:hAnsi="方正仿宋_GBK" w:eastAsia="方正仿宋_GBK" w:cs="方正仿宋_GBK"/>
          <w:sz w:val="28"/>
        </w:rPr>
        <w:t>天。与本询价有关的正式通讯地址为：</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kern w:val="0"/>
          <w:sz w:val="28"/>
          <w:szCs w:val="28"/>
        </w:rPr>
        <w:t>加盖供应商公章</w:t>
      </w:r>
      <w:r>
        <w:rPr>
          <w:rFonts w:hint="eastAsia" w:ascii="方正仿宋_GBK" w:hAnsi="方正仿宋_GBK" w:eastAsia="方正仿宋_GBK" w:cs="方正仿宋_GBK"/>
          <w:sz w:val="28"/>
          <w:szCs w:val="28"/>
        </w:rPr>
        <w:t>）</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p>
    <w:p>
      <w:r>
        <w:rPr>
          <w:rFonts w:hint="eastAsia"/>
        </w:rPr>
        <w:br w:type="page"/>
      </w:r>
    </w:p>
    <w:p>
      <w:pPr>
        <w:pStyle w:val="3"/>
        <w:jc w:val="center"/>
      </w:pPr>
      <w:r>
        <w:rPr>
          <w:rFonts w:hint="eastAsia"/>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五、如果有有关法律法规规定的记入诚信档案的失信行为，将在响应文件中全面如实反映。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520" w:lineRule="exact"/>
        <w:ind w:firstLine="562" w:firstLineChars="200"/>
      </w:pPr>
      <w:r>
        <w:rPr>
          <w:rFonts w:hint="eastAsia" w:ascii="方正仿宋_GBK" w:hAnsi="方正仿宋_GBK" w:eastAsia="方正仿宋_GBK" w:cs="方正仿宋_GBK"/>
          <w:b/>
          <w:bCs/>
          <w:sz w:val="28"/>
          <w:szCs w:val="28"/>
        </w:rPr>
        <w:br w:type="page"/>
      </w:r>
      <w:bookmarkStart w:id="19" w:name="_Toc31358"/>
    </w:p>
    <w:p>
      <w:pPr>
        <w:pStyle w:val="3"/>
        <w:jc w:val="center"/>
      </w:pPr>
      <w:bookmarkStart w:id="20" w:name="_Toc12867"/>
      <w:r>
        <w:t>供应商基本情况表</w:t>
      </w:r>
      <w:bookmarkEnd w:id="20"/>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09"/>
        <w:gridCol w:w="284"/>
        <w:gridCol w:w="1582"/>
        <w:gridCol w:w="544"/>
        <w:gridCol w:w="664"/>
        <w:gridCol w:w="328"/>
        <w:gridCol w:w="567"/>
        <w:gridCol w:w="785"/>
        <w:gridCol w:w="2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供应商名称</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注册地址</w:t>
            </w:r>
          </w:p>
        </w:tc>
        <w:tc>
          <w:tcPr>
            <w:tcW w:w="31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邮政编码</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联系方式</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联系人</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传真</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网址</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组织结构</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法定代表人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技术负责人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成立时间</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394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企业资质等级</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其中</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项目经理</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营业执照号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高级职称人员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注册资金</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中级职称人员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开户银行</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初级职称人员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账号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技工</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经营范围</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备注</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bl>
    <w:p>
      <w:pPr>
        <w:spacing w:line="360" w:lineRule="auto"/>
        <w:rPr>
          <w:rFonts w:cs="方正仿宋_GBK"/>
          <w:szCs w:val="28"/>
        </w:rPr>
      </w:pPr>
    </w:p>
    <w:p>
      <w:pPr>
        <w:spacing w:line="360" w:lineRule="auto"/>
        <w:rPr>
          <w:rFonts w:cs="方正仿宋_GBK"/>
          <w:szCs w:val="28"/>
        </w:rPr>
      </w:pPr>
    </w:p>
    <w:p>
      <w:pPr>
        <w:spacing w:line="360" w:lineRule="auto"/>
        <w:rPr>
          <w:rFonts w:cs="方正仿宋_GBK"/>
        </w:rPr>
      </w:pPr>
      <w:r>
        <w:rPr>
          <w:rFonts w:hint="eastAsia" w:ascii="方正仿宋_GBK" w:hAnsi="方正仿宋_GBK" w:eastAsia="方正仿宋_GBK" w:cs="方正仿宋_GBK"/>
          <w:sz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rPr>
        <w:t>（加盖单位公章）</w:t>
      </w:r>
    </w:p>
    <w:p>
      <w:pPr>
        <w:spacing w:line="360" w:lineRule="auto"/>
        <w:rPr>
          <w:rFonts w:cs="方正仿宋_GBK"/>
        </w:rPr>
      </w:pPr>
      <w:r>
        <w:rPr>
          <w:rFonts w:hint="eastAsia" w:ascii="方正仿宋_GBK" w:hAnsi="方正仿宋_GBK" w:eastAsia="方正仿宋_GBK" w:cs="方正仿宋_GBK"/>
          <w:sz w:val="28"/>
        </w:rPr>
        <w:t>供应商代表（签字）：</w:t>
      </w:r>
    </w:p>
    <w:p>
      <w:pPr>
        <w:spacing w:line="360" w:lineRule="auto"/>
        <w:rPr>
          <w:rFonts w:cs="方正仿宋_GBK"/>
          <w:szCs w:val="28"/>
        </w:rPr>
      </w:pPr>
      <w:r>
        <w:rPr>
          <w:rFonts w:hint="eastAsia" w:ascii="方正仿宋_GBK" w:hAnsi="方正仿宋_GBK" w:eastAsia="方正仿宋_GBK" w:cs="方正仿宋_GBK"/>
          <w:sz w:val="28"/>
        </w:rPr>
        <w:t>日期：</w:t>
      </w:r>
    </w:p>
    <w:p>
      <w:pPr>
        <w:pStyle w:val="3"/>
        <w:jc w:val="center"/>
      </w:pPr>
      <w:r>
        <w:rPr>
          <w:rFonts w:hint="eastAsia"/>
        </w:rPr>
        <w:t>技术、服务要求响应表</w:t>
      </w:r>
      <w:bookmarkEnd w:id="19"/>
    </w:p>
    <w:p>
      <w:pPr>
        <w:pStyle w:val="8"/>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357"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101"/>
        <w:gridCol w:w="883"/>
        <w:gridCol w:w="1150"/>
        <w:gridCol w:w="1417"/>
        <w:gridCol w:w="750"/>
        <w:gridCol w:w="1550"/>
        <w:gridCol w:w="7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88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数量、单位</w:t>
            </w: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响应产品品牌、型号</w:t>
            </w:r>
          </w:p>
        </w:tc>
        <w:tc>
          <w:tcPr>
            <w:tcW w:w="7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数量、单位</w:t>
            </w: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技术、服务要求响应情况</w:t>
            </w:r>
          </w:p>
        </w:tc>
        <w:tc>
          <w:tcPr>
            <w:tcW w:w="76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表内容涉及产品的，供应商应当明示具体产品的品牌、型号，在“技术、服务要求响应情况”一列填入技术参数；本表内容涉及服务的，供应商应在“技术、服务要求响应情况”一列填入供应商拟提供服务的内容和标准，如：提供**服务，使**达到**水平等等；“偏离情况”一列，填写“正偏离”、“负偏离”、“无偏离”。</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3"/>
        <w:jc w:val="center"/>
      </w:pPr>
      <w:bookmarkStart w:id="21" w:name="_Toc22567"/>
      <w:r>
        <w:rPr>
          <w:rFonts w:hint="eastAsia"/>
        </w:rPr>
        <w:t>商务应答表</w:t>
      </w:r>
      <w:bookmarkEnd w:id="21"/>
    </w:p>
    <w:p>
      <w:pPr>
        <w:pStyle w:val="8"/>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注：1.供应商必须把采购项目的全部商务要求列入此表。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8"/>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3"/>
        <w:jc w:val="center"/>
      </w:pPr>
      <w:bookmarkStart w:id="22" w:name="_Toc10905"/>
      <w:r>
        <w:t>中小企业声明函（货物类适用）</w:t>
      </w:r>
      <w:bookmarkEnd w:id="22"/>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企业名称（盖章）：</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日 期：</w:t>
      </w:r>
    </w:p>
    <w:p>
      <w:pPr>
        <w:spacing w:line="540" w:lineRule="exact"/>
        <w:rPr>
          <w:rFonts w:cs="方正仿宋_GBK"/>
          <w:b/>
          <w:szCs w:val="28"/>
        </w:rPr>
      </w:pPr>
    </w:p>
    <w:p>
      <w:pPr>
        <w:spacing w:line="540" w:lineRule="exact"/>
        <w:rPr>
          <w:rFonts w:cs="方正仿宋_GBK"/>
          <w:b/>
          <w:bCs/>
          <w:szCs w:val="28"/>
        </w:r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cs="方正仿宋_GBK"/>
          <w:b/>
          <w:bCs/>
          <w:szCs w:val="32"/>
        </w:rPr>
      </w:pPr>
      <w:r>
        <w:rPr>
          <w:rFonts w:hint="eastAsia" w:ascii="方正仿宋_GBK" w:hAnsi="方正仿宋_GBK" w:eastAsia="方正仿宋_GBK" w:cs="方正仿宋_GBK"/>
          <w:b/>
          <w:bCs/>
          <w:sz w:val="28"/>
          <w:szCs w:val="32"/>
        </w:rPr>
        <w:br w:type="page"/>
      </w:r>
      <w:r>
        <w:rPr>
          <w:rFonts w:hint="eastAsia" w:ascii="方正仿宋_GBK" w:hAnsi="方正仿宋_GBK" w:eastAsia="方正仿宋_GBK" w:cs="方正仿宋_GBK"/>
          <w:b/>
          <w:bCs/>
          <w:sz w:val="28"/>
          <w:szCs w:val="32"/>
        </w:rPr>
        <w:t>中小企业声明函（工程、服务类适用）</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 xml:space="preserve">  （单位名称）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20" w:lineRule="exact"/>
        <w:jc w:val="left"/>
        <w:rPr>
          <w:rFonts w:cs="方正仿宋_GBK"/>
          <w:szCs w:val="28"/>
        </w:rPr>
      </w:pPr>
      <w:r>
        <w:rPr>
          <w:rFonts w:hint="eastAsia" w:ascii="方正仿宋_GBK" w:hAnsi="方正仿宋_GBK" w:eastAsia="方正仿宋_GBK" w:cs="方正仿宋_GBK"/>
          <w:sz w:val="28"/>
          <w:szCs w:val="28"/>
        </w:rPr>
        <w:t>企业名称（盖章）：</w:t>
      </w:r>
    </w:p>
    <w:p>
      <w:pPr>
        <w:spacing w:line="520" w:lineRule="exact"/>
        <w:ind w:firstLine="280" w:firstLineChars="100"/>
        <w:jc w:val="left"/>
        <w:rPr>
          <w:rFonts w:cs="方正仿宋_GBK"/>
          <w:szCs w:val="28"/>
        </w:rPr>
      </w:pPr>
      <w:r>
        <w:rPr>
          <w:rFonts w:hint="eastAsia" w:ascii="方正仿宋_GBK" w:hAnsi="方正仿宋_GBK" w:eastAsia="方正仿宋_GBK" w:cs="方正仿宋_GBK"/>
          <w:sz w:val="28"/>
          <w:szCs w:val="28"/>
        </w:rPr>
        <w:t>日 期：</w:t>
      </w:r>
    </w:p>
    <w:p>
      <w:pPr>
        <w:spacing w:line="520" w:lineRule="exact"/>
        <w:jc w:val="left"/>
        <w:rPr>
          <w:rFonts w:cs="方正仿宋_GBK"/>
          <w:b/>
          <w:bCs/>
          <w:szCs w:val="28"/>
        </w:rPr>
      </w:pPr>
    </w:p>
    <w:p>
      <w:pPr>
        <w:spacing w:line="520" w:lineRule="exact"/>
        <w:jc w:val="left"/>
        <w:rPr>
          <w:rFonts w:cs="方正仿宋_GBK"/>
          <w:b/>
          <w:bCs/>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pStyle w:val="3"/>
        <w:jc w:val="center"/>
      </w:pPr>
      <w:bookmarkStart w:id="23" w:name="_Toc19913"/>
      <w:r>
        <w:rPr>
          <w:rFonts w:hint="eastAsia"/>
        </w:rPr>
        <w:t>知识产权声明函</w:t>
      </w:r>
      <w:bookmarkEnd w:id="23"/>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Style w:val="3"/>
        <w:jc w:val="center"/>
      </w:pPr>
      <w:bookmarkStart w:id="24" w:name="_Toc7958"/>
      <w:r>
        <w:rPr>
          <w:rFonts w:hint="eastAsia"/>
        </w:rPr>
        <w:t>其他相关材料</w:t>
      </w:r>
      <w:bookmarkEnd w:id="24"/>
    </w:p>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8"/>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8"/>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8"/>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8"/>
        <w:rPr>
          <w:rFonts w:ascii="方正仿宋_GBK" w:hAnsi="方正仿宋_GBK" w:eastAsia="方正仿宋_GBK" w:cs="方正仿宋_GBK"/>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报价表</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r>
        <w:rPr>
          <w:rFonts w:hint="eastAsia"/>
        </w:rPr>
        <w:br w:type="page"/>
      </w:r>
    </w:p>
    <w:p>
      <w:pPr>
        <w:pStyle w:val="3"/>
        <w:jc w:val="center"/>
      </w:pPr>
      <w:r>
        <w:rPr>
          <w:rFonts w:hint="eastAsia"/>
        </w:rPr>
        <w:t>报价表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580"/>
        <w:gridCol w:w="694"/>
        <w:gridCol w:w="802"/>
        <w:gridCol w:w="692"/>
        <w:gridCol w:w="670"/>
        <w:gridCol w:w="1018"/>
        <w:gridCol w:w="96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1580"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名称</w:t>
            </w:r>
          </w:p>
        </w:tc>
        <w:tc>
          <w:tcPr>
            <w:tcW w:w="694"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型号</w:t>
            </w:r>
          </w:p>
        </w:tc>
        <w:tc>
          <w:tcPr>
            <w:tcW w:w="802"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制造厂家</w:t>
            </w:r>
          </w:p>
        </w:tc>
        <w:tc>
          <w:tcPr>
            <w:tcW w:w="692"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数量</w:t>
            </w:r>
          </w:p>
        </w:tc>
        <w:tc>
          <w:tcPr>
            <w:tcW w:w="670"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w:t>
            </w:r>
          </w:p>
        </w:tc>
        <w:tc>
          <w:tcPr>
            <w:tcW w:w="1018"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单价（元）</w:t>
            </w:r>
          </w:p>
        </w:tc>
        <w:tc>
          <w:tcPr>
            <w:tcW w:w="969"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总价（元）</w:t>
            </w:r>
          </w:p>
        </w:tc>
        <w:tc>
          <w:tcPr>
            <w:tcW w:w="1420" w:type="dxa"/>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580" w:type="dxa"/>
          </w:tcPr>
          <w:p>
            <w:pPr>
              <w:spacing w:line="360" w:lineRule="auto"/>
              <w:rPr>
                <w:rFonts w:ascii="方正仿宋_GBK" w:hAnsi="方正仿宋_GBK" w:eastAsia="方正仿宋_GBK" w:cs="方正仿宋_GBK"/>
                <w:szCs w:val="21"/>
              </w:rPr>
            </w:pPr>
          </w:p>
        </w:tc>
        <w:tc>
          <w:tcPr>
            <w:tcW w:w="694" w:type="dxa"/>
          </w:tcPr>
          <w:p>
            <w:pPr>
              <w:spacing w:line="360" w:lineRule="auto"/>
              <w:rPr>
                <w:rFonts w:ascii="方正仿宋_GBK" w:hAnsi="方正仿宋_GBK" w:eastAsia="方正仿宋_GBK" w:cs="方正仿宋_GBK"/>
                <w:szCs w:val="21"/>
              </w:rPr>
            </w:pPr>
          </w:p>
        </w:tc>
        <w:tc>
          <w:tcPr>
            <w:tcW w:w="802" w:type="dxa"/>
          </w:tcPr>
          <w:p>
            <w:pPr>
              <w:spacing w:line="360" w:lineRule="auto"/>
              <w:rPr>
                <w:rFonts w:ascii="方正仿宋_GBK" w:hAnsi="方正仿宋_GBK" w:eastAsia="方正仿宋_GBK" w:cs="方正仿宋_GBK"/>
                <w:szCs w:val="21"/>
              </w:rPr>
            </w:pPr>
          </w:p>
        </w:tc>
        <w:tc>
          <w:tcPr>
            <w:tcW w:w="692" w:type="dxa"/>
          </w:tcPr>
          <w:p>
            <w:pPr>
              <w:spacing w:line="360" w:lineRule="auto"/>
              <w:rPr>
                <w:rFonts w:ascii="方正仿宋_GBK" w:hAnsi="方正仿宋_GBK" w:eastAsia="方正仿宋_GBK" w:cs="方正仿宋_GBK"/>
                <w:szCs w:val="21"/>
              </w:rPr>
            </w:pPr>
          </w:p>
        </w:tc>
        <w:tc>
          <w:tcPr>
            <w:tcW w:w="670" w:type="dxa"/>
          </w:tcPr>
          <w:p>
            <w:pPr>
              <w:spacing w:line="360" w:lineRule="auto"/>
              <w:rPr>
                <w:rFonts w:ascii="方正仿宋_GBK" w:hAnsi="方正仿宋_GBK" w:eastAsia="方正仿宋_GBK" w:cs="方正仿宋_GBK"/>
                <w:szCs w:val="21"/>
              </w:rPr>
            </w:pPr>
          </w:p>
        </w:tc>
        <w:tc>
          <w:tcPr>
            <w:tcW w:w="1018" w:type="dxa"/>
          </w:tcPr>
          <w:p>
            <w:pPr>
              <w:spacing w:line="360" w:lineRule="auto"/>
              <w:rPr>
                <w:rFonts w:ascii="方正仿宋_GBK" w:hAnsi="方正仿宋_GBK" w:eastAsia="方正仿宋_GBK" w:cs="方正仿宋_GBK"/>
                <w:szCs w:val="21"/>
              </w:rPr>
            </w:pPr>
          </w:p>
        </w:tc>
        <w:tc>
          <w:tcPr>
            <w:tcW w:w="969" w:type="dxa"/>
          </w:tcPr>
          <w:p>
            <w:pPr>
              <w:spacing w:line="360" w:lineRule="auto"/>
              <w:rPr>
                <w:rFonts w:ascii="方正仿宋_GBK" w:hAnsi="方正仿宋_GBK" w:eastAsia="方正仿宋_GBK" w:cs="方正仿宋_GBK"/>
                <w:szCs w:val="21"/>
              </w:rPr>
            </w:pPr>
          </w:p>
        </w:tc>
        <w:tc>
          <w:tcPr>
            <w:tcW w:w="1420" w:type="dxa"/>
          </w:tcPr>
          <w:p>
            <w:pPr>
              <w:spacing w:line="360" w:lineRule="auto"/>
              <w:rPr>
                <w:rFonts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580"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694"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802"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692"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670"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018"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969"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c>
          <w:tcPr>
            <w:tcW w:w="1420" w:type="dxa"/>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0" w:type="dxa"/>
            <w:gridSpan w:val="9"/>
          </w:tcPr>
          <w:p>
            <w:pPr>
              <w:spacing w:line="360" w:lineRule="auto"/>
              <w:rPr>
                <w:rFonts w:ascii="方正仿宋_GBK" w:hAnsi="方正仿宋_GBK" w:eastAsia="方正仿宋_GBK" w:cs="方正仿宋_GBK"/>
                <w:szCs w:val="21"/>
              </w:rPr>
            </w:pPr>
            <w:r>
              <w:rPr>
                <w:rFonts w:hint="eastAsia" w:ascii="方正仿宋_GBK" w:hAnsi="方正仿宋_GBK" w:eastAsia="方正仿宋_GBK" w:cs="方正仿宋_GBK"/>
                <w:szCs w:val="21"/>
              </w:rPr>
              <w:t>合计金额（元）：小写：</w:t>
            </w:r>
            <w:r>
              <w:rPr>
                <w:rFonts w:hint="eastAsia" w:ascii="方正仿宋_GBK" w:hAnsi="方正仿宋_GBK" w:eastAsia="方正仿宋_GBK" w:cs="方正仿宋_GBK"/>
                <w:szCs w:val="21"/>
              </w:rPr>
              <w:tab/>
            </w:r>
            <w:r>
              <w:rPr>
                <w:rFonts w:hint="eastAsia" w:ascii="方正仿宋_GBK" w:hAnsi="方正仿宋_GBK" w:eastAsia="方正仿宋_GBK" w:cs="方正仿宋_GBK"/>
                <w:szCs w:val="21"/>
              </w:rPr>
              <w:t xml:space="preserve">            大写：</w:t>
            </w:r>
          </w:p>
        </w:tc>
      </w:tr>
    </w:tbl>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注：1.所有报价均用人民币表示,所报价格是最终验收合格的</w:t>
      </w:r>
      <w:r>
        <w:rPr>
          <w:rFonts w:hint="eastAsia" w:ascii="方正仿宋_GBK" w:hAnsi="方正仿宋_GBK" w:eastAsia="方正仿宋_GBK" w:cs="方正仿宋_GBK"/>
          <w:color w:val="auto"/>
          <w:sz w:val="28"/>
          <w:lang w:eastAsia="zh-CN"/>
        </w:rPr>
        <w:t>总价</w:t>
      </w:r>
      <w:r>
        <w:rPr>
          <w:rFonts w:hint="eastAsia" w:ascii="方正仿宋_GBK" w:hAnsi="方正仿宋_GBK" w:eastAsia="方正仿宋_GBK" w:cs="方正仿宋_GBK"/>
          <w:color w:val="auto"/>
          <w:sz w:val="28"/>
        </w:rPr>
        <w:t>，其总价即为履行合同的固定价格。</w:t>
      </w:r>
      <w:r>
        <w:rPr>
          <w:rFonts w:hint="eastAsia" w:ascii="方正仿宋_GBK" w:hAnsi="方正仿宋_GBK" w:eastAsia="方正仿宋_GBK" w:cs="方正仿宋_GBK"/>
          <w:color w:val="auto"/>
          <w:sz w:val="28"/>
          <w:lang w:eastAsia="zh-CN"/>
        </w:rPr>
        <w:t>包括相关内容设计、</w:t>
      </w:r>
      <w:r>
        <w:rPr>
          <w:rFonts w:hint="eastAsia" w:ascii="方正仿宋_GBK" w:hAnsi="方正仿宋_GBK" w:eastAsia="方正仿宋_GBK" w:cs="方正仿宋_GBK"/>
          <w:color w:val="auto"/>
          <w:sz w:val="28"/>
        </w:rPr>
        <w:t>运输、安装、调试、检验、相关税金等费用以及询价通知书规定的其他费用均应包含在报价中；</w:t>
      </w:r>
    </w:p>
    <w:p>
      <w:pPr>
        <w:numPr>
          <w:ilvl w:val="0"/>
          <w:numId w:val="1"/>
        </w:num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应完整填写产品的品牌和型号或项目内容。</w:t>
      </w:r>
    </w:p>
    <w:p>
      <w:pPr>
        <w:pStyle w:val="8"/>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8"/>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ascii="方正仿宋_GBK" w:hAnsi="方正仿宋_GBK" w:eastAsia="方正仿宋_GBK" w:cs="方正仿宋_GBK"/>
          <w:sz w:val="28"/>
          <w:szCs w:val="28"/>
        </w:rPr>
        <w:sectPr>
          <w:footerReference r:id="rId6" w:type="default"/>
          <w:pgSz w:w="11906" w:h="16838"/>
          <w:pgMar w:top="1440" w:right="1803" w:bottom="1440" w:left="1803" w:header="851" w:footer="992" w:gutter="0"/>
          <w:cols w:space="720" w:num="1"/>
          <w:docGrid w:type="lines" w:linePitch="312" w:charSpace="0"/>
        </w:sectPr>
      </w:pPr>
    </w:p>
    <w:p>
      <w:pPr>
        <w:pStyle w:val="2"/>
        <w:rPr>
          <w:rFonts w:ascii="方正仿宋_GBK" w:hAnsi="方正仿宋_GBK"/>
          <w:sz w:val="28"/>
          <w:szCs w:val="28"/>
        </w:rPr>
      </w:pPr>
      <w:bookmarkStart w:id="25" w:name="_Toc11347"/>
      <w:bookmarkStart w:id="26" w:name="_Toc27996"/>
      <w:bookmarkStart w:id="27" w:name="_Toc16139"/>
      <w:r>
        <w:rPr>
          <w:rFonts w:hint="eastAsia" w:ascii="方正仿宋_GBK" w:hAnsi="方正仿宋_GBK"/>
          <w:sz w:val="28"/>
          <w:szCs w:val="28"/>
        </w:rPr>
        <w:t>六、确定成交供应商的原则</w:t>
      </w:r>
      <w:bookmarkEnd w:id="25"/>
      <w:bookmarkEnd w:id="26"/>
      <w:bookmarkEnd w:id="27"/>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本项目采购方式为询价采购，须按最低评标价法进行评审。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具体询价程序参照《四川省政府采购评审工作规程（修订）》执行。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注：1、根据《关于进一步加大政府采购支持中小企业力度的通知》 财库〔2022〕19号文件和《巴中市财政局关于进一步加大政府采购支持中小企业力度的通知》巴财采〔2022〕14号的规定，对小型和微型企业产品的价格给予20%的价格扣除，用扣除后的价格参与评审。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28" w:name="bookmark37"/>
      <w:bookmarkEnd w:id="28"/>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29" w:name="bookmark38"/>
      <w:bookmarkEnd w:id="29"/>
      <w:r>
        <w:rPr>
          <w:rFonts w:hint="eastAsia" w:ascii="方正仿宋_GBK" w:hAnsi="方正仿宋_GBK" w:eastAsia="方正仿宋_GBK" w:cs="方正仿宋_GBK"/>
          <w:sz w:val="28"/>
          <w:szCs w:val="28"/>
        </w:rPr>
        <w:t>3、根据《中华人民共和国政府采购法》第九条的相关规定</w:t>
      </w:r>
      <w:r>
        <w:rPr>
          <w:rFonts w:hint="eastAsia" w:ascii="方正仿宋_GBK" w:hAnsi="方正仿宋_GBK" w:eastAsia="方正仿宋_GBK" w:cs="方正仿宋_GBK"/>
          <w:sz w:val="28"/>
          <w:szCs w:val="28"/>
          <w:lang w:val="zh-CN"/>
        </w:rPr>
        <w:t>，在报价相同时，成交候选供应商并列的情况下</w:t>
      </w:r>
      <w:r>
        <w:rPr>
          <w:rFonts w:hint="eastAsia" w:ascii="方正仿宋_GBK" w:hAnsi="方正仿宋_GBK" w:eastAsia="方正仿宋_GBK" w:cs="方正仿宋_GBK"/>
          <w:sz w:val="28"/>
          <w:szCs w:val="28"/>
        </w:rPr>
        <w:t>，优先确定注册地为不发达地区、少数民族地区的供应商为成交供应商。供应商须在响应文件提供相关证明材料，否则不享受本扶持政策。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30" w:name="bookmark40"/>
      <w:bookmarkEnd w:id="30"/>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2"/>
        <w:rPr>
          <w:rFonts w:ascii="方正仿宋_GBK" w:hAnsi="方正仿宋_GBK"/>
          <w:sz w:val="28"/>
          <w:szCs w:val="28"/>
        </w:rPr>
      </w:pPr>
      <w:bookmarkStart w:id="31" w:name="_Toc11158"/>
      <w:bookmarkStart w:id="32" w:name="_Toc5245"/>
      <w:bookmarkStart w:id="33" w:name="_Toc32506"/>
      <w:r>
        <w:rPr>
          <w:rFonts w:hint="eastAsia" w:ascii="方正仿宋_GBK" w:hAnsi="方正仿宋_GBK"/>
          <w:sz w:val="28"/>
          <w:szCs w:val="28"/>
        </w:rPr>
        <w:t>七、文件获取方式、时间、地点</w:t>
      </w:r>
      <w:bookmarkEnd w:id="31"/>
      <w:bookmarkEnd w:id="32"/>
      <w:bookmarkEnd w:id="33"/>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采购文件自202</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26</w:t>
      </w:r>
      <w:r>
        <w:rPr>
          <w:rFonts w:hint="eastAsia" w:ascii="方正仿宋_GBK" w:hAnsi="方正仿宋_GBK" w:eastAsia="方正仿宋_GBK" w:cs="方正仿宋_GBK"/>
          <w:sz w:val="28"/>
          <w:szCs w:val="28"/>
        </w:rPr>
        <w:t>日至202</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27</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现场获取/邮箱获取。</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邮箱获取：在采购文件获取期限内将如下扫描件发送给四川振嘉工程招标代理有限公司邮箱（3480200800@qq.com）：供应商为法人或者其他组织的，需提供单位介绍信、经办人身份证明，交款凭证（备注交款单位、本项目名称）；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r>
        <w:rPr>
          <w:rFonts w:hint="eastAsia" w:ascii="方正仿宋_GBK" w:hAnsi="方正仿宋_GBK" w:eastAsia="方正仿宋_GBK" w:cs="方正仿宋_GBK"/>
          <w:b/>
          <w:bCs/>
          <w:sz w:val="28"/>
          <w:szCs w:val="28"/>
        </w:rPr>
        <w:t>递交文件截止日期前将原件交给采购代理机构留存</w:t>
      </w:r>
      <w:r>
        <w:rPr>
          <w:rFonts w:hint="eastAsia" w:ascii="方正仿宋_GBK" w:hAnsi="方正仿宋_GBK" w:eastAsia="方正仿宋_GBK" w:cs="方正仿宋_GBK"/>
          <w:sz w:val="28"/>
          <w:szCs w:val="28"/>
        </w:rPr>
        <w:t>。</w:t>
      </w:r>
    </w:p>
    <w:p>
      <w:pPr>
        <w:spacing w:line="360" w:lineRule="auto"/>
        <w:ind w:firstLine="560" w:firstLineChars="200"/>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采购文件售价：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3</w:t>
      </w:r>
      <w:bookmarkStart w:id="64" w:name="_GoBack"/>
      <w:bookmarkEnd w:id="64"/>
      <w:r>
        <w:rPr>
          <w:rFonts w:hint="eastAsia" w:ascii="方正仿宋_GBK" w:hAnsi="方正仿宋_GBK" w:eastAsia="方正仿宋_GBK" w:cs="方正仿宋_GBK"/>
          <w:color w:val="000000" w:themeColor="text1"/>
          <w:kern w:val="0"/>
          <w:sz w:val="28"/>
          <w:szCs w:val="28"/>
          <w14:textFill>
            <w14:solidFill>
              <w14:schemeClr w14:val="tx1"/>
            </w14:solidFill>
          </w14:textFill>
        </w:rPr>
        <w:t>00元/份（采购文件售后不退，询价资格不能转让）。</w:t>
      </w:r>
      <w:bookmarkStart w:id="34" w:name="_Toc20158"/>
      <w:bookmarkStart w:id="35" w:name="_Toc17808"/>
      <w:bookmarkStart w:id="36" w:name="_Toc22573"/>
    </w:p>
    <w:p>
      <w:pPr>
        <w:pStyle w:val="2"/>
        <w:rPr>
          <w:rFonts w:ascii="方正仿宋_GBK" w:hAnsi="方正仿宋_GBK"/>
          <w:sz w:val="28"/>
          <w:szCs w:val="28"/>
        </w:rPr>
      </w:pPr>
      <w:r>
        <w:rPr>
          <w:rFonts w:hint="eastAsia" w:ascii="方正仿宋_GBK" w:hAnsi="方正仿宋_GBK"/>
          <w:sz w:val="28"/>
          <w:szCs w:val="28"/>
        </w:rPr>
        <w:t>八、递交响应文件截止时间</w:t>
      </w:r>
      <w:bookmarkEnd w:id="34"/>
      <w:bookmarkEnd w:id="35"/>
      <w:bookmarkEnd w:id="36"/>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29</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:00</w:t>
      </w:r>
      <w:r>
        <w:rPr>
          <w:rFonts w:hint="eastAsia" w:ascii="方正仿宋_GBK" w:hAnsi="方正仿宋_GBK" w:eastAsia="方正仿宋_GBK" w:cs="方正仿宋_GBK"/>
          <w:sz w:val="28"/>
          <w:szCs w:val="28"/>
        </w:rPr>
        <w:t>（北京时间）。</w:t>
      </w:r>
    </w:p>
    <w:p>
      <w:pPr>
        <w:pStyle w:val="2"/>
        <w:rPr>
          <w:rFonts w:ascii="方正仿宋_GBK" w:hAnsi="方正仿宋_GBK"/>
          <w:sz w:val="28"/>
          <w:szCs w:val="28"/>
        </w:rPr>
      </w:pPr>
      <w:bookmarkStart w:id="37" w:name="_Toc7760"/>
      <w:bookmarkStart w:id="38" w:name="_Toc25240"/>
      <w:bookmarkStart w:id="39" w:name="_Toc24476"/>
      <w:r>
        <w:rPr>
          <w:rFonts w:hint="eastAsia" w:ascii="方正仿宋_GBK" w:hAnsi="方正仿宋_GBK"/>
          <w:sz w:val="28"/>
          <w:szCs w:val="28"/>
        </w:rPr>
        <w:t>九、递交响应文件地点</w:t>
      </w:r>
      <w:bookmarkEnd w:id="37"/>
      <w:bookmarkEnd w:id="38"/>
      <w:bookmarkEnd w:id="39"/>
    </w:p>
    <w:p>
      <w:pPr>
        <w:widowControl/>
        <w:ind w:firstLine="560" w:firstLineChars="200"/>
        <w:rPr>
          <w:rFonts w:ascii="方正仿宋_GBK" w:hAnsi="方正仿宋_GBK" w:eastAsia="方正仿宋_GBK" w:cs="方正仿宋_GBK"/>
          <w:sz w:val="28"/>
          <w:szCs w:val="28"/>
        </w:rPr>
      </w:pPr>
      <w:bookmarkStart w:id="40"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40"/>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29</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09</w:t>
      </w:r>
      <w:r>
        <w:rPr>
          <w:rFonts w:hint="eastAsia" w:ascii="方正仿宋_GBK" w:hAnsi="方正仿宋_GBK" w:eastAsia="方正仿宋_GBK" w:cs="方正仿宋_GBK"/>
          <w:sz w:val="28"/>
          <w:szCs w:val="28"/>
          <w:u w:val="single"/>
        </w:rPr>
        <w:t>:30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03</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29</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:00</w:t>
      </w:r>
      <w:r>
        <w:rPr>
          <w:rFonts w:hint="eastAsia" w:ascii="方正仿宋_GBK" w:hAnsi="方正仿宋_GBK" w:eastAsia="方正仿宋_GBK" w:cs="方正仿宋_GBK"/>
          <w:sz w:val="28"/>
          <w:szCs w:val="28"/>
        </w:rPr>
        <w:t>（北京时间）。</w:t>
      </w:r>
    </w:p>
    <w:p>
      <w:pPr>
        <w:pStyle w:val="2"/>
        <w:rPr>
          <w:rFonts w:ascii="方正仿宋_GBK" w:hAnsi="方正仿宋_GBK"/>
          <w:sz w:val="28"/>
          <w:szCs w:val="28"/>
        </w:rPr>
      </w:pPr>
      <w:bookmarkStart w:id="41" w:name="_Toc5721"/>
      <w:bookmarkStart w:id="42" w:name="_Toc5653"/>
      <w:bookmarkStart w:id="43" w:name="_Toc2651"/>
      <w:bookmarkStart w:id="44" w:name="_Toc6315"/>
      <w:bookmarkStart w:id="45" w:name="_Toc18438"/>
      <w:r>
        <w:rPr>
          <w:rFonts w:hint="eastAsia" w:ascii="方正仿宋_GBK" w:hAnsi="方正仿宋_GBK"/>
          <w:sz w:val="28"/>
          <w:szCs w:val="28"/>
        </w:rPr>
        <w:t>十、代理服务</w:t>
      </w:r>
      <w:bookmarkEnd w:id="41"/>
      <w:bookmarkEnd w:id="42"/>
      <w:bookmarkEnd w:id="43"/>
      <w:bookmarkEnd w:id="44"/>
      <w:bookmarkEnd w:id="45"/>
    </w:p>
    <w:p>
      <w:pPr>
        <w:widowControl/>
        <w:adjustRightInd w:val="0"/>
        <w:snapToGrid w:val="0"/>
        <w:spacing w:line="305" w:lineRule="auto"/>
        <w:ind w:firstLine="560" w:firstLineChars="200"/>
        <w:jc w:val="left"/>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宋体" w:eastAsia="方正仿宋_GBK" w:cs="宋体"/>
          <w:kern w:val="0"/>
          <w:sz w:val="28"/>
          <w:szCs w:val="28"/>
        </w:rPr>
        <w:t>本项目代理服务费</w:t>
      </w:r>
      <w:r>
        <w:rPr>
          <w:rFonts w:hint="eastAsia" w:ascii="方正仿宋_GBK" w:hAnsi="宋体" w:eastAsia="方正仿宋_GBK" w:cs="宋体"/>
          <w:kern w:val="0"/>
          <w:sz w:val="28"/>
          <w:szCs w:val="28"/>
          <w:u w:val="single"/>
          <w:lang w:val="en-US" w:eastAsia="zh-CN"/>
        </w:rPr>
        <w:t>6</w:t>
      </w:r>
      <w:r>
        <w:rPr>
          <w:rFonts w:hint="eastAsia" w:ascii="方正仿宋_GBK" w:hAnsi="宋体" w:eastAsia="方正仿宋_GBK" w:cs="宋体"/>
          <w:kern w:val="0"/>
          <w:sz w:val="28"/>
          <w:szCs w:val="28"/>
          <w:u w:val="single"/>
        </w:rPr>
        <w:t>000</w:t>
      </w:r>
      <w:r>
        <w:rPr>
          <w:rFonts w:hint="eastAsia" w:ascii="方正仿宋_GBK" w:hAnsi="宋体" w:eastAsia="方正仿宋_GBK" w:cs="宋体"/>
          <w:kern w:val="0"/>
          <w:sz w:val="28"/>
          <w:szCs w:val="28"/>
        </w:rPr>
        <w:t>元（大写：</w:t>
      </w:r>
      <w:r>
        <w:rPr>
          <w:rFonts w:hint="eastAsia" w:ascii="方正仿宋_GBK" w:hAnsi="宋体" w:eastAsia="方正仿宋_GBK" w:cs="宋体"/>
          <w:kern w:val="0"/>
          <w:sz w:val="28"/>
          <w:szCs w:val="28"/>
          <w:lang w:eastAsia="zh-CN"/>
        </w:rPr>
        <w:t>陆</w:t>
      </w:r>
      <w:r>
        <w:rPr>
          <w:rFonts w:hint="eastAsia" w:ascii="方正仿宋_GBK" w:hAnsi="宋体" w:eastAsia="方正仿宋_GBK" w:cs="宋体"/>
          <w:kern w:val="0"/>
          <w:sz w:val="28"/>
          <w:szCs w:val="28"/>
        </w:rPr>
        <w:t>仟元整），由</w:t>
      </w:r>
      <w:r>
        <w:rPr>
          <w:rFonts w:hint="eastAsia" w:ascii="方正仿宋_GBK" w:hAnsi="方正仿宋_GBK" w:eastAsia="方正仿宋_GBK" w:cs="方正仿宋_GBK"/>
          <w:bCs/>
          <w:sz w:val="28"/>
          <w:szCs w:val="28"/>
          <w:u w:val="single"/>
          <w:lang w:eastAsia="zh-CN"/>
        </w:rPr>
        <w:t>成交供应商</w:t>
      </w:r>
      <w:r>
        <w:rPr>
          <w:rFonts w:hint="eastAsia" w:ascii="方正仿宋_GBK" w:hAnsi="宋体" w:eastAsia="方正仿宋_GBK" w:cs="宋体"/>
          <w:kern w:val="0"/>
          <w:sz w:val="28"/>
          <w:szCs w:val="28"/>
        </w:rPr>
        <w:t>向</w:t>
      </w:r>
      <w:r>
        <w:rPr>
          <w:rFonts w:hint="eastAsia" w:ascii="方正仿宋_GBK" w:hAnsi="宋体" w:eastAsia="方正仿宋_GBK" w:cs="宋体"/>
          <w:kern w:val="0"/>
          <w:sz w:val="28"/>
          <w:szCs w:val="28"/>
          <w:lang w:eastAsia="zh-CN"/>
        </w:rPr>
        <w:t>（代理机构）</w:t>
      </w:r>
      <w:r>
        <w:rPr>
          <w:rFonts w:hint="eastAsia" w:ascii="方正仿宋_GBK" w:hAnsi="宋体" w:eastAsia="方正仿宋_GBK" w:cs="宋体"/>
          <w:kern w:val="0"/>
          <w:sz w:val="28"/>
          <w:szCs w:val="28"/>
        </w:rPr>
        <w:t>支付。</w:t>
      </w:r>
    </w:p>
    <w:p>
      <w:pPr>
        <w:pStyle w:val="2"/>
        <w:rPr>
          <w:rFonts w:ascii="方正仿宋_GBK" w:hAnsi="方正仿宋_GBK"/>
          <w:sz w:val="28"/>
          <w:szCs w:val="28"/>
        </w:rPr>
      </w:pPr>
      <w:bookmarkStart w:id="46" w:name="_Toc9760"/>
      <w:bookmarkStart w:id="47" w:name="_Toc5861"/>
      <w:bookmarkStart w:id="48" w:name="_Toc10747"/>
      <w:r>
        <w:rPr>
          <w:rFonts w:hint="eastAsia" w:ascii="方正仿宋_GBK" w:hAnsi="方正仿宋_GBK"/>
          <w:sz w:val="28"/>
          <w:szCs w:val="28"/>
        </w:rPr>
        <w:t>十一、联系方式</w:t>
      </w:r>
      <w:bookmarkEnd w:id="46"/>
      <w:bookmarkEnd w:id="47"/>
      <w:bookmarkEnd w:id="48"/>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采购人：</w:t>
      </w:r>
      <w:r>
        <w:rPr>
          <w:rFonts w:hint="eastAsia" w:ascii="方正仿宋_GBK" w:hAnsi="方正仿宋_GBK" w:eastAsia="方正仿宋_GBK" w:cs="方正仿宋_GBK"/>
          <w:sz w:val="28"/>
          <w:szCs w:val="28"/>
          <w:lang w:val="en-US" w:eastAsia="zh-CN"/>
        </w:rPr>
        <w:t>巴中市公安局巴州区分局</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r>
        <w:rPr>
          <w:rFonts w:hint="eastAsia" w:ascii="方正仿宋_GBK" w:hAnsi="方正仿宋_GBK" w:eastAsia="方正仿宋_GBK" w:cs="方正仿宋_GBK"/>
          <w:sz w:val="28"/>
          <w:szCs w:val="28"/>
          <w:lang w:val="en-US" w:eastAsia="zh-CN"/>
        </w:rPr>
        <w:t>巴中市公安局巴州区分局</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李老师</w:t>
      </w:r>
      <w:r>
        <w:rPr>
          <w:rFonts w:hint="eastAsia" w:ascii="方正仿宋_GBK" w:hAnsi="方正仿宋_GBK" w:eastAsia="方正仿宋_GBK" w:cs="方正仿宋_GBK"/>
          <w:bCs/>
          <w:sz w:val="28"/>
          <w:szCs w:val="28"/>
        </w:rPr>
        <w:t>；联系电话：</w:t>
      </w:r>
      <w:r>
        <w:rPr>
          <w:rFonts w:hint="eastAsia" w:ascii="方正仿宋_GBK" w:hAnsi="方正仿宋_GBK" w:eastAsia="方正仿宋_GBK" w:cs="方正仿宋_GBK"/>
          <w:bCs/>
          <w:sz w:val="28"/>
          <w:szCs w:val="28"/>
          <w:lang w:val="en-US" w:eastAsia="zh-CN"/>
        </w:rPr>
        <w:t>13056509007</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    址：巴中市江北大道西段凯悦名城9栋12楼；</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赵</w:t>
      </w:r>
      <w:r>
        <w:rPr>
          <w:rFonts w:hint="eastAsia" w:ascii="方正仿宋_GBK" w:hAnsi="方正仿宋_GBK" w:eastAsia="方正仿宋_GBK" w:cs="方正仿宋_GBK"/>
          <w:bCs/>
          <w:sz w:val="28"/>
          <w:szCs w:val="28"/>
        </w:rPr>
        <w:t>老师；联系电话：0827-8668888。</w:t>
      </w:r>
    </w:p>
    <w:p>
      <w:pPr>
        <w:pStyle w:val="2"/>
        <w:spacing w:line="360" w:lineRule="auto"/>
        <w:rPr>
          <w:rFonts w:ascii="方正仿宋_GBK" w:hAnsi="方正仿宋_GBK"/>
          <w:sz w:val="28"/>
          <w:szCs w:val="28"/>
        </w:rPr>
      </w:pPr>
      <w:bookmarkStart w:id="49" w:name="_Toc8137"/>
      <w:bookmarkStart w:id="50" w:name="_Toc26219"/>
      <w:bookmarkStart w:id="51" w:name="_Toc11731"/>
      <w:bookmarkStart w:id="52" w:name="_Toc689"/>
      <w:bookmarkStart w:id="53" w:name="_Toc669"/>
      <w:bookmarkStart w:id="54" w:name="_Toc20873"/>
      <w:r>
        <w:rPr>
          <w:rFonts w:hint="eastAsia" w:ascii="方正仿宋_GBK" w:hAnsi="方正仿宋_GBK"/>
          <w:sz w:val="28"/>
          <w:szCs w:val="28"/>
        </w:rPr>
        <w:t>十二、询问、质疑</w:t>
      </w:r>
      <w:bookmarkEnd w:id="49"/>
      <w:bookmarkEnd w:id="50"/>
      <w:bookmarkEnd w:id="51"/>
      <w:bookmarkEnd w:id="52"/>
      <w:bookmarkEnd w:id="53"/>
      <w:bookmarkEnd w:id="54"/>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sz w:val="28"/>
          <w:szCs w:val="28"/>
          <w:lang w:val="en-US" w:eastAsia="zh-CN"/>
        </w:rPr>
        <w:t>巴中市公安局巴州区分局</w:t>
      </w:r>
      <w:r>
        <w:rPr>
          <w:rFonts w:hint="eastAsia" w:ascii="方正仿宋_GBK" w:hAnsi="方正仿宋_GBK" w:eastAsia="方正仿宋_GBK" w:cs="方正仿宋_GBK"/>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李老师</w:t>
      </w:r>
      <w:r>
        <w:rPr>
          <w:rFonts w:hint="eastAsia" w:ascii="方正仿宋_GBK" w:hAnsi="方正仿宋_GBK" w:eastAsia="方正仿宋_GBK" w:cs="方正仿宋_GBK"/>
          <w:bCs/>
          <w:sz w:val="28"/>
          <w:szCs w:val="28"/>
        </w:rPr>
        <w:t>、1</w:t>
      </w:r>
      <w:r>
        <w:rPr>
          <w:rFonts w:hint="eastAsia" w:ascii="方正仿宋_GBK" w:hAnsi="方正仿宋_GBK" w:eastAsia="方正仿宋_GBK" w:cs="方正仿宋_GBK"/>
          <w:bCs/>
          <w:sz w:val="28"/>
          <w:szCs w:val="28"/>
          <w:lang w:val="en-US" w:eastAsia="zh-CN"/>
        </w:rPr>
        <w:t>3056509007</w:t>
      </w:r>
      <w:r>
        <w:rPr>
          <w:rFonts w:hint="eastAsia" w:ascii="方正仿宋_GBK" w:hAnsi="方正仿宋_GBK" w:eastAsia="方正仿宋_GBK" w:cs="方正仿宋_GBK"/>
          <w:bCs/>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赵</w:t>
      </w:r>
      <w:r>
        <w:rPr>
          <w:rFonts w:hint="eastAsia" w:ascii="方正仿宋_GBK" w:hAnsi="方正仿宋_GBK" w:eastAsia="方正仿宋_GBK" w:cs="方正仿宋_GBK"/>
          <w:bCs/>
          <w:sz w:val="28"/>
          <w:szCs w:val="28"/>
        </w:rPr>
        <w:t>老师、0827-8668888。</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2"/>
        <w:spacing w:line="360" w:lineRule="auto"/>
        <w:rPr>
          <w:rFonts w:ascii="方正仿宋_GBK" w:hAnsi="方正仿宋_GBK"/>
          <w:sz w:val="28"/>
          <w:szCs w:val="28"/>
        </w:rPr>
      </w:pPr>
      <w:bookmarkStart w:id="55" w:name="_Toc17989"/>
      <w:bookmarkStart w:id="56" w:name="_Toc19621"/>
      <w:bookmarkStart w:id="57" w:name="_Toc18960"/>
      <w:bookmarkStart w:id="58" w:name="_Toc10466"/>
      <w:bookmarkStart w:id="59" w:name="_Toc17363"/>
      <w:bookmarkStart w:id="60" w:name="_Toc27803"/>
      <w:r>
        <w:rPr>
          <w:rFonts w:hint="eastAsia" w:ascii="方正仿宋_GBK" w:hAnsi="方正仿宋_GBK"/>
          <w:sz w:val="28"/>
          <w:szCs w:val="28"/>
        </w:rPr>
        <w:t>十三、保证金及履约保证金</w:t>
      </w:r>
      <w:bookmarkEnd w:id="55"/>
      <w:bookmarkEnd w:id="56"/>
      <w:bookmarkEnd w:id="57"/>
      <w:bookmarkEnd w:id="58"/>
      <w:bookmarkEnd w:id="59"/>
      <w:bookmarkEnd w:id="60"/>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13.1、询价保证金：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13.2、履约保证金：</w:t>
      </w:r>
    </w:p>
    <w:p>
      <w:pPr>
        <w:spacing w:line="360" w:lineRule="auto"/>
        <w:ind w:firstLine="843" w:firstLineChars="300"/>
        <w:rPr>
          <w:rFonts w:ascii="方正仿宋_GBK" w:hAnsi="方正仿宋_GBK" w:eastAsia="方正仿宋_GBK" w:cs="方正仿宋_GBK"/>
          <w:b/>
          <w:bCs/>
          <w:sz w:val="28"/>
          <w:szCs w:val="28"/>
        </w:rPr>
      </w:pPr>
      <w:bookmarkStart w:id="61" w:name="_Toc2065"/>
      <w:bookmarkStart w:id="62" w:name="_Toc297"/>
      <w:bookmarkStart w:id="63" w:name="_Toc22218"/>
      <w:r>
        <w:rPr>
          <w:rFonts w:hint="eastAsia" w:ascii="方正仿宋_GBK" w:hAnsi="方正仿宋_GBK" w:eastAsia="方正仿宋_GBK" w:cs="方正仿宋_GBK"/>
          <w:b/>
          <w:bCs/>
          <w:sz w:val="28"/>
          <w:szCs w:val="28"/>
        </w:rPr>
        <w:t>本项目不收取。</w:t>
      </w:r>
    </w:p>
    <w:p>
      <w:pPr>
        <w:pStyle w:val="2"/>
        <w:spacing w:line="360" w:lineRule="auto"/>
        <w:rPr>
          <w:rFonts w:ascii="方正仿宋_GBK" w:hAnsi="方正仿宋_GBK"/>
          <w:sz w:val="28"/>
          <w:szCs w:val="28"/>
        </w:rPr>
      </w:pPr>
      <w:r>
        <w:rPr>
          <w:rFonts w:hint="eastAsia" w:ascii="方正仿宋_GBK" w:hAnsi="方正仿宋_GBK"/>
          <w:sz w:val="28"/>
          <w:szCs w:val="28"/>
        </w:rPr>
        <w:t>十四、合同草案</w:t>
      </w:r>
      <w:bookmarkEnd w:id="61"/>
      <w:bookmarkEnd w:id="62"/>
      <w:bookmarkEnd w:id="63"/>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合同编号：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签订地点：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  年   月   日</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采购人（甲方）：</w:t>
      </w:r>
      <w:r>
        <w:rPr>
          <w:rFonts w:hint="eastAsia" w:ascii="方正仿宋_GBK" w:hAnsi="方正仿宋_GBK" w:eastAsia="方正仿宋_GBK" w:cs="方正仿宋_GBK"/>
          <w:sz w:val="28"/>
          <w:szCs w:val="28"/>
          <w:lang w:val="en-US" w:eastAsia="zh-CN"/>
        </w:rPr>
        <w:t>巴中市公安局巴州区分局</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参照《中华人民共和国政府采购法》、《中华人民共和国民法典》及</w:t>
      </w:r>
      <w:r>
        <w:rPr>
          <w:rFonts w:hint="eastAsia" w:ascii="方正仿宋_GBK" w:hAnsi="方正仿宋_GBK" w:eastAsia="方正仿宋_GBK" w:cs="方正仿宋_GBK"/>
          <w:sz w:val="28"/>
          <w:szCs w:val="28"/>
          <w:u w:val="none"/>
          <w:lang w:val="en-US" w:eastAsia="zh-CN"/>
        </w:rPr>
        <w:t>巴中市公安局巴州区分局警务执勤装备采购项目</w:t>
      </w:r>
      <w:r>
        <w:rPr>
          <w:rFonts w:hint="eastAsia" w:ascii="方正仿宋_GBK" w:hAnsi="方正仿宋_GBK" w:eastAsia="方正仿宋_GBK" w:cs="方正仿宋_GBK"/>
          <w:sz w:val="28"/>
        </w:rPr>
        <w:t>（项目编号：</w:t>
      </w:r>
      <w:r>
        <w:rPr>
          <w:rFonts w:hint="eastAsia" w:ascii="方正仿宋_GBK" w:hAnsi="方正仿宋_GBK" w:eastAsia="方正仿宋_GBK" w:cs="方正仿宋_GBK"/>
          <w:sz w:val="28"/>
          <w:u w:val="single"/>
        </w:rPr>
        <w:t>SCZJDL〔202</w:t>
      </w:r>
      <w:r>
        <w:rPr>
          <w:rFonts w:hint="eastAsia" w:ascii="方正仿宋_GBK" w:hAnsi="方正仿宋_GBK" w:eastAsia="方正仿宋_GBK" w:cs="方正仿宋_GBK"/>
          <w:sz w:val="28"/>
          <w:u w:val="single"/>
          <w:lang w:val="en-US" w:eastAsia="zh-CN"/>
        </w:rPr>
        <w:t>4</w:t>
      </w:r>
      <w:r>
        <w:rPr>
          <w:rFonts w:hint="eastAsia" w:ascii="方正仿宋_GBK" w:hAnsi="方正仿宋_GBK" w:eastAsia="方正仿宋_GBK" w:cs="方正仿宋_GBK"/>
          <w:sz w:val="28"/>
          <w:u w:val="single"/>
        </w:rPr>
        <w:t>〕</w:t>
      </w:r>
      <w:r>
        <w:rPr>
          <w:rFonts w:hint="eastAsia" w:ascii="方正仿宋_GBK" w:hAnsi="方正仿宋_GBK" w:eastAsia="方正仿宋_GBK" w:cs="方正仿宋_GBK"/>
          <w:sz w:val="28"/>
          <w:u w:val="single"/>
          <w:lang w:val="en-US" w:eastAsia="zh-CN"/>
        </w:rPr>
        <w:t>09</w:t>
      </w:r>
      <w:r>
        <w:rPr>
          <w:rFonts w:hint="eastAsia" w:ascii="方正仿宋_GBK" w:hAnsi="方正仿宋_GBK" w:eastAsia="方正仿宋_GBK" w:cs="方正仿宋_GBK"/>
          <w:sz w:val="28"/>
          <w:u w:val="single"/>
        </w:rPr>
        <w:t>号</w:t>
      </w:r>
      <w:r>
        <w:rPr>
          <w:rFonts w:hint="eastAsia" w:ascii="方正仿宋_GBK" w:hAnsi="方正仿宋_GBK" w:eastAsia="方正仿宋_GBK" w:cs="方正仿宋_GBK"/>
          <w:sz w:val="28"/>
        </w:rPr>
        <w:t>）的《询价通知书》、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一、合同货物</w:t>
      </w:r>
    </w:p>
    <w:tbl>
      <w:tblPr>
        <w:tblStyle w:val="22"/>
        <w:tblW w:w="8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8"/>
        <w:gridCol w:w="941"/>
        <w:gridCol w:w="750"/>
        <w:gridCol w:w="641"/>
        <w:gridCol w:w="955"/>
        <w:gridCol w:w="873"/>
        <w:gridCol w:w="939"/>
        <w:gridCol w:w="873"/>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268"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货物品名</w:t>
            </w:r>
          </w:p>
        </w:tc>
        <w:tc>
          <w:tcPr>
            <w:tcW w:w="941"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规格</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型号</w:t>
            </w:r>
          </w:p>
        </w:tc>
        <w:tc>
          <w:tcPr>
            <w:tcW w:w="750"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单位</w:t>
            </w:r>
          </w:p>
        </w:tc>
        <w:tc>
          <w:tcPr>
            <w:tcW w:w="641"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数量</w:t>
            </w:r>
          </w:p>
        </w:tc>
        <w:tc>
          <w:tcPr>
            <w:tcW w:w="955"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单价</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（元）</w:t>
            </w:r>
          </w:p>
        </w:tc>
        <w:tc>
          <w:tcPr>
            <w:tcW w:w="873"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总价</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（元</w:t>
            </w:r>
          </w:p>
        </w:tc>
        <w:tc>
          <w:tcPr>
            <w:tcW w:w="939"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随机</w:t>
            </w:r>
          </w:p>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配件</w:t>
            </w:r>
          </w:p>
        </w:tc>
        <w:tc>
          <w:tcPr>
            <w:tcW w:w="873" w:type="dxa"/>
            <w:tcBorders>
              <w:top w:val="single" w:color="auto" w:sz="4" w:space="0"/>
              <w:left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交货期</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资金来源（元）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方正仿宋_GBK" w:hAnsi="方正仿宋_GBK" w:eastAsia="方正仿宋_GBK" w:cs="方正仿宋_GBK"/>
                <w:szCs w:val="21"/>
              </w:rPr>
            </w:pPr>
          </w:p>
        </w:tc>
      </w:tr>
    </w:tbl>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元；本合同执行期间合同总价不变，甲方无须另向乙方支付本合同规定之外的其他任何费用。</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1.乙方须提供全新的货物（含零部件、配件等），表面无划伤、无碰撞痕迹，且权属清楚，不得侵害他人的知识产权。</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标准，以及本项目询价通知书的质量要求和技术指标与出厂标准。</w:t>
      </w: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3.乙方须在本合同签订之日起</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日内送交货物成品样品给甲方确认，在甲方出具样品确认书并封存成品样品外观尺寸后，乙方才能按样生产，并以此样品作为验收样品；</w:t>
      </w:r>
      <w:r>
        <w:rPr>
          <w:rFonts w:hint="eastAsia" w:ascii="方正仿宋_GBK" w:hAnsi="方正仿宋_GBK" w:eastAsia="方正仿宋_GBK" w:cs="方正仿宋_GBK"/>
          <w:color w:val="000000" w:themeColor="text1"/>
          <w:sz w:val="28"/>
          <w:szCs w:val="28"/>
          <w14:textFill>
            <w14:solidFill>
              <w14:schemeClr w14:val="tx1"/>
            </w14:solidFill>
          </w14:textFill>
        </w:rPr>
        <w:t>供应商提供的每批货物上均应有产品质量检验合格标志。</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4.货物制造质量出现问题，乙方应负责三包（包修、包换、包退），费用由乙方负担，甲方有权到乙方生产场地检查货物质量和生产进度。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5.货物到现场后由于甲方保管不当造成的质量问题，乙方亦应负责修理，但费用由甲方负担。</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1.乙方交货期限为合同签订生效后的</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）天内交货到甲方指定地点，随即在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日内全部完成安装调试验收合格交付使用 (如由于采购人的原因造成合同延迟签订或验收的，时间顺延)。交货验收时须提供产品质检部门从同类产品中抽样检查合格的检测报告。</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2.验收由甲方组织，乙方配合进行：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货物在乙方通知安装调试完毕后</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验收标准：按国家有关规定以及甲方询价通知书的质量要求和技术指标、乙方的投标文件及承诺与本合同约定标准进行验收；甲乙双方如对质量要求和技术指标的约定标准有相互抵触或异议的事项，由甲方在询价通知书及响应文件中按质量要求和技术指标比较优胜的原则确定该项的约定标准进行验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日内，甲方无故不进行验收工作并已使用货物的，视同验收合格。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4.乙方应将所提供货物的装箱清单、配件、用户使用手册、原厂保修卡等资料交付给甲方；乙方不能完整交付货物及本款规定的单证和工具的，必须负责补齐，否则视为未按合同约定交货。</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5.如货物经乙方</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次维修仍不能达到合同约定的质量标准，甲方有权退货，并视作乙方不能交付货物且须支付违约赔偿金给甲方，甲方还可依法追究乙方的违约责任。</w:t>
      </w:r>
    </w:p>
    <w:p>
      <w:pPr>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6.其他未尽事宜应严格严格按照《财政部关于进一步加强政府采购和履约验收管理的指导意见》（财库〔2016〕205 号）、《巴中市财政局关于进一步加强政府采购项目合同履约验收管理工作的通知》（巴财采〔2021〕21 号）的要求、供应商响应文件进行验收。 </w:t>
      </w:r>
    </w:p>
    <w:p>
      <w:pPr>
        <w:spacing w:line="360" w:lineRule="auto"/>
        <w:ind w:firstLine="562" w:firstLineChars="200"/>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五、付款方式</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所有货物经验收合格后，采购人向成交供应商支付合同总金额的</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kern w:val="0"/>
          <w:sz w:val="28"/>
          <w:szCs w:val="28"/>
        </w:rPr>
        <w:t>，剩余</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kern w:val="0"/>
          <w:sz w:val="28"/>
          <w:szCs w:val="28"/>
        </w:rPr>
        <w:t>作为质保金，采购人向成交供应商验收合格之日起一年后无息支付。</w:t>
      </w:r>
    </w:p>
    <w:p>
      <w:pPr>
        <w:spacing w:line="360" w:lineRule="auto"/>
        <w:ind w:firstLine="562" w:firstLineChars="200"/>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六、售后服务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1.产品质量售后：产品使用时，出现质量问题，采购人做好记录并通知供应商，供应商应在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小时内响应，</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小时内到场，</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小时内解决问题。</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（1）甲方无正当理由拒收货物的，甲方应偿付合同总价百分之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的违约金；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（2）甲方逾期支付货款的，除应及时付足货款外，应向乙方偿付欠款总额万分之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天的，乙方有权终止合同；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（3）甲方偿付的违约金不足以弥补乙方损失的，还应按乙方损失尚未弥补的部分，支付赔偿金给乙方。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（1）乙方交付的货物质量不符合合同规定的，乙方应向甲方支付合同总价的百分之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的违约金，并须在合同规定的交货时间内更换合格的货物给甲方，否则，视作乙方不能交付货物而违约，按本条本款下述第“（2）”项规定由乙方偿付违约赔偿金给甲方。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（2）乙方不能交付货物或逾期交付货物而违约的，除应及时交足货物外，应向甲方偿付逾期交货部分货款总额的万分之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天，甲方有权终止合同，乙方则应按合同总价的百分之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的款额向甲方偿付赔偿金，并须全额退还甲方已经付给乙方的货款及其利息。</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天内无条件更换合格的货物，如逾期不能更换合格的货物，甲方有权终止本合同，乙方应另付合同总价的百分之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的赔偿金给甲方。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方正仿宋_GBK" w:hAnsi="方正仿宋_GBK" w:eastAsia="方正仿宋_GBK" w:cs="方正仿宋_GBK"/>
          <w:sz w:val="28"/>
          <w:u w:val="single"/>
        </w:rPr>
        <w:t xml:space="preserve">    </w:t>
      </w:r>
      <w:r>
        <w:rPr>
          <w:rFonts w:hint="eastAsia" w:ascii="方正仿宋_GBK" w:hAnsi="方正仿宋_GBK" w:eastAsia="方正仿宋_GBK" w:cs="方正仿宋_GBK"/>
          <w:sz w:val="28"/>
          <w:szCs w:val="28"/>
        </w:rPr>
        <w:t>向甲方支付违约金。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（5）乙方偿付的违约金不足以弥补甲方损失的，还应按甲方损失尚未弥补的部分，支付赔偿金给甲方。</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3.本合同一式四份，自双方签章并经代理机构审核编号后生效。甲方、乙方、政府采购管理部门、采购代理机构各一份。</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cs="方正仿宋_GBK"/>
          <w:szCs w:val="28"/>
        </w:rPr>
      </w:pPr>
      <w:r>
        <w:rPr>
          <w:rFonts w:hint="eastAsia" w:ascii="方正仿宋_GBK" w:hAnsi="方正仿宋_GBK" w:eastAsia="方正仿宋_GBK" w:cs="方正仿宋_GBK"/>
          <w:sz w:val="28"/>
          <w:szCs w:val="28"/>
        </w:rPr>
        <w:t xml:space="preserve">签约日期：  年  月  日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签约日期：  年  月  日</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D91F297-E7BA-4217-BFBF-5BF866646666}"/>
  </w:font>
  <w:font w:name="方正仿宋_GBK">
    <w:panose1 w:val="03000509000000000000"/>
    <w:charset w:val="86"/>
    <w:family w:val="script"/>
    <w:pitch w:val="default"/>
    <w:sig w:usb0="00000001" w:usb1="080E0000" w:usb2="00000000" w:usb3="00000000" w:csb0="00040000" w:csb1="00000000"/>
    <w:embedRegular r:id="rId2" w:fontKey="{49B074DE-F804-4048-A723-D7854EE8CB1E}"/>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SimSun-18030">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3" w:fontKey="{DB3BE0DC-014A-41A3-A4F1-AD0B931F5371}"/>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ixA+bwwEAAJADAAAOAAAAAAAAAAEAIAAAAB4BAABkcnMvZTJvRG9jLnhtbFBL&#10;BQYAAAAABgAGAFkBAABTBQAAAAA=&#10;">
              <v:fill on="f" focussize="0,0"/>
              <v:stroke on="f"/>
              <v:imagedata o:title=""/>
              <o:lock v:ext="edit" aspectratio="f"/>
              <v:textbox inset="0mm,0mm,0mm,0mm" style="mso-fit-shape-to-text:t;">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40</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HoUsQBAACQ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IgHoUsQBAACQAwAADgAAAAAAAAABACAAAAAeAQAAZHJzL2Uyb0RvYy54bWxQ&#10;SwUGAAAAAAYABgBZAQAAVAUAAAAA&#10;">
              <v:fill on="f" focussize="0,0"/>
              <v:stroke on="f"/>
              <v:imagedata o:title=""/>
              <o:lock v:ext="edit" aspectratio="f"/>
              <v:textbox inset="0mm,0mm,0mm,0mm" style="mso-fit-shape-to-text:t;">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40</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51</w:t>
                          </w:r>
                          <w:r>
                            <w:rPr>
                              <w:rFonts w:hint="eastAsia" w:ascii="方正仿宋_GBK" w:hAnsi="方正仿宋_GBK" w:eastAsia="方正仿宋_GBK" w:cs="方正仿宋_GBK"/>
                              <w:sz w:val="21"/>
                              <w:szCs w:val="21"/>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XW4inwwEAAJADAAAOAAAAAAAAAAEAIAAAAB4BAABkcnMvZTJvRG9jLnhtbFBL&#10;BQYAAAAABgAGAFkBAABTBQAAAAA=&#10;">
              <v:fill on="f" focussize="0,0"/>
              <v:stroke on="f"/>
              <v:imagedata o:title=""/>
              <o:lock v:ext="edit" aspectratio="f"/>
              <v:textbox inset="0mm,0mm,0mm,0mm" style="mso-fit-shape-to-text:t;">
                <w:txbxContent>
                  <w:p>
                    <w:pPr>
                      <w:pStyle w:val="13"/>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ascii="方正仿宋_GBK" w:hAnsi="方正仿宋_GBK" w:eastAsia="方正仿宋_GBK" w:cs="方正仿宋_GBK"/>
                        <w:sz w:val="21"/>
                        <w:szCs w:val="21"/>
                      </w:rPr>
                      <w:t>51</w:t>
                    </w:r>
                    <w:r>
                      <w:rPr>
                        <w:rFonts w:hint="eastAsia" w:ascii="方正仿宋_GBK" w:hAnsi="方正仿宋_GBK" w:eastAsia="方正仿宋_GBK" w:cs="方正仿宋_GBK"/>
                        <w:sz w:val="21"/>
                        <w:szCs w:val="21"/>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39DF5"/>
    <w:multiLevelType w:val="singleLevel"/>
    <w:tmpl w:val="02D39DF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TFhNmU3ZmNiNGUxYjk4YjQyOTRkN2Q1NGE5MWIifQ=="/>
  </w:docVars>
  <w:rsids>
    <w:rsidRoot w:val="00172A27"/>
    <w:rsid w:val="00000F91"/>
    <w:rsid w:val="00037576"/>
    <w:rsid w:val="0005506D"/>
    <w:rsid w:val="0008692D"/>
    <w:rsid w:val="0009541C"/>
    <w:rsid w:val="000A7E4C"/>
    <w:rsid w:val="000E4FF5"/>
    <w:rsid w:val="000F73D3"/>
    <w:rsid w:val="00143976"/>
    <w:rsid w:val="00153BCE"/>
    <w:rsid w:val="00167CE6"/>
    <w:rsid w:val="00172A27"/>
    <w:rsid w:val="001F37CB"/>
    <w:rsid w:val="00206DBB"/>
    <w:rsid w:val="0026214A"/>
    <w:rsid w:val="002726CF"/>
    <w:rsid w:val="00283C96"/>
    <w:rsid w:val="002E08B6"/>
    <w:rsid w:val="0032361A"/>
    <w:rsid w:val="003414E4"/>
    <w:rsid w:val="003552E3"/>
    <w:rsid w:val="0036110E"/>
    <w:rsid w:val="00364E25"/>
    <w:rsid w:val="00366455"/>
    <w:rsid w:val="003703BD"/>
    <w:rsid w:val="00384F52"/>
    <w:rsid w:val="00415BD4"/>
    <w:rsid w:val="00420F71"/>
    <w:rsid w:val="00450F1F"/>
    <w:rsid w:val="004A2BEE"/>
    <w:rsid w:val="004A52F3"/>
    <w:rsid w:val="004B6CB2"/>
    <w:rsid w:val="004E30E9"/>
    <w:rsid w:val="00503C59"/>
    <w:rsid w:val="00557F17"/>
    <w:rsid w:val="0056777F"/>
    <w:rsid w:val="005C3E06"/>
    <w:rsid w:val="005C70E9"/>
    <w:rsid w:val="00644CD9"/>
    <w:rsid w:val="006646F9"/>
    <w:rsid w:val="006827CA"/>
    <w:rsid w:val="00693D1B"/>
    <w:rsid w:val="006A40C1"/>
    <w:rsid w:val="006C22BB"/>
    <w:rsid w:val="006F38C5"/>
    <w:rsid w:val="007066AD"/>
    <w:rsid w:val="00715DF4"/>
    <w:rsid w:val="007300DC"/>
    <w:rsid w:val="00770FA3"/>
    <w:rsid w:val="007833BF"/>
    <w:rsid w:val="00795614"/>
    <w:rsid w:val="00804D29"/>
    <w:rsid w:val="00810441"/>
    <w:rsid w:val="008463FC"/>
    <w:rsid w:val="008734C4"/>
    <w:rsid w:val="00934D40"/>
    <w:rsid w:val="00955F54"/>
    <w:rsid w:val="0095786C"/>
    <w:rsid w:val="00967474"/>
    <w:rsid w:val="00990AC6"/>
    <w:rsid w:val="009D325E"/>
    <w:rsid w:val="009F13E7"/>
    <w:rsid w:val="009F5E0F"/>
    <w:rsid w:val="00A04325"/>
    <w:rsid w:val="00A211E0"/>
    <w:rsid w:val="00A67ABE"/>
    <w:rsid w:val="00A761F0"/>
    <w:rsid w:val="00AA4B45"/>
    <w:rsid w:val="00AF7A8E"/>
    <w:rsid w:val="00B21578"/>
    <w:rsid w:val="00B22761"/>
    <w:rsid w:val="00B31A0C"/>
    <w:rsid w:val="00B3277B"/>
    <w:rsid w:val="00B53540"/>
    <w:rsid w:val="00BE2634"/>
    <w:rsid w:val="00BE2CD7"/>
    <w:rsid w:val="00C037D3"/>
    <w:rsid w:val="00C12D29"/>
    <w:rsid w:val="00C467DF"/>
    <w:rsid w:val="00C62D7B"/>
    <w:rsid w:val="00C63201"/>
    <w:rsid w:val="00CC2322"/>
    <w:rsid w:val="00CD5584"/>
    <w:rsid w:val="00CD5BFC"/>
    <w:rsid w:val="00CF374D"/>
    <w:rsid w:val="00D011AC"/>
    <w:rsid w:val="00D0208E"/>
    <w:rsid w:val="00DA223A"/>
    <w:rsid w:val="00DD3A4D"/>
    <w:rsid w:val="00DE3C37"/>
    <w:rsid w:val="00DF4AE1"/>
    <w:rsid w:val="00DF6DF9"/>
    <w:rsid w:val="00E61771"/>
    <w:rsid w:val="00E65307"/>
    <w:rsid w:val="00EF3516"/>
    <w:rsid w:val="00F266E0"/>
    <w:rsid w:val="00F3624E"/>
    <w:rsid w:val="00F43515"/>
    <w:rsid w:val="00FA640A"/>
    <w:rsid w:val="00FE5A59"/>
    <w:rsid w:val="012F7855"/>
    <w:rsid w:val="016D3AE5"/>
    <w:rsid w:val="02D62D89"/>
    <w:rsid w:val="03861B50"/>
    <w:rsid w:val="045D1075"/>
    <w:rsid w:val="04DD5D12"/>
    <w:rsid w:val="04F43F68"/>
    <w:rsid w:val="051B3B9E"/>
    <w:rsid w:val="0526160E"/>
    <w:rsid w:val="05CE3DDC"/>
    <w:rsid w:val="066245DF"/>
    <w:rsid w:val="068A6D20"/>
    <w:rsid w:val="079601DB"/>
    <w:rsid w:val="07F114E2"/>
    <w:rsid w:val="08FE129F"/>
    <w:rsid w:val="092C5F7A"/>
    <w:rsid w:val="09523172"/>
    <w:rsid w:val="0B1701D0"/>
    <w:rsid w:val="0B4E22CF"/>
    <w:rsid w:val="0B6F3378"/>
    <w:rsid w:val="0C132268"/>
    <w:rsid w:val="0D7F5D98"/>
    <w:rsid w:val="0D870F11"/>
    <w:rsid w:val="0DA3127A"/>
    <w:rsid w:val="0EB94505"/>
    <w:rsid w:val="0F031B43"/>
    <w:rsid w:val="0F1C059B"/>
    <w:rsid w:val="0FE77FD2"/>
    <w:rsid w:val="107B3053"/>
    <w:rsid w:val="119C5E3E"/>
    <w:rsid w:val="121205B6"/>
    <w:rsid w:val="12F11306"/>
    <w:rsid w:val="12FC436D"/>
    <w:rsid w:val="13095F5B"/>
    <w:rsid w:val="136D0DF2"/>
    <w:rsid w:val="13D635A2"/>
    <w:rsid w:val="140E00D7"/>
    <w:rsid w:val="151D7482"/>
    <w:rsid w:val="15386E66"/>
    <w:rsid w:val="15610E6C"/>
    <w:rsid w:val="156F5A43"/>
    <w:rsid w:val="162163A6"/>
    <w:rsid w:val="167A2ABA"/>
    <w:rsid w:val="169D0B26"/>
    <w:rsid w:val="16B37083"/>
    <w:rsid w:val="173F626C"/>
    <w:rsid w:val="177E4F12"/>
    <w:rsid w:val="17AF720B"/>
    <w:rsid w:val="17B43302"/>
    <w:rsid w:val="17BE22CA"/>
    <w:rsid w:val="18BD1C8B"/>
    <w:rsid w:val="19626C39"/>
    <w:rsid w:val="19707050"/>
    <w:rsid w:val="19846820"/>
    <w:rsid w:val="19A410F8"/>
    <w:rsid w:val="19FA389C"/>
    <w:rsid w:val="1A3D12D5"/>
    <w:rsid w:val="1A3D1DB9"/>
    <w:rsid w:val="1AEB1C42"/>
    <w:rsid w:val="1B180DD0"/>
    <w:rsid w:val="1B9A7C34"/>
    <w:rsid w:val="1BF105C9"/>
    <w:rsid w:val="1C9C271C"/>
    <w:rsid w:val="1CEF1C9A"/>
    <w:rsid w:val="1E0279B1"/>
    <w:rsid w:val="1E6D5441"/>
    <w:rsid w:val="1ED8781E"/>
    <w:rsid w:val="1F4F0129"/>
    <w:rsid w:val="1F631B25"/>
    <w:rsid w:val="1FBF5098"/>
    <w:rsid w:val="20564772"/>
    <w:rsid w:val="21951109"/>
    <w:rsid w:val="22471321"/>
    <w:rsid w:val="24410F93"/>
    <w:rsid w:val="246F40FD"/>
    <w:rsid w:val="24EF7CEA"/>
    <w:rsid w:val="24FC0B0B"/>
    <w:rsid w:val="25E12EF5"/>
    <w:rsid w:val="25E20968"/>
    <w:rsid w:val="28670769"/>
    <w:rsid w:val="28E0448E"/>
    <w:rsid w:val="292D0766"/>
    <w:rsid w:val="2A737F06"/>
    <w:rsid w:val="2A7B43AE"/>
    <w:rsid w:val="2BCD24B1"/>
    <w:rsid w:val="2C6F4557"/>
    <w:rsid w:val="2CF66676"/>
    <w:rsid w:val="2D4F5666"/>
    <w:rsid w:val="2D61111D"/>
    <w:rsid w:val="2D687FBF"/>
    <w:rsid w:val="2DD03B68"/>
    <w:rsid w:val="2E6D12FF"/>
    <w:rsid w:val="2EC33BE8"/>
    <w:rsid w:val="30B6379C"/>
    <w:rsid w:val="30E45A6F"/>
    <w:rsid w:val="30FA6A20"/>
    <w:rsid w:val="314E571E"/>
    <w:rsid w:val="316E42C2"/>
    <w:rsid w:val="318339D6"/>
    <w:rsid w:val="31921B57"/>
    <w:rsid w:val="32244DFC"/>
    <w:rsid w:val="32FA17D0"/>
    <w:rsid w:val="33475D6B"/>
    <w:rsid w:val="33591463"/>
    <w:rsid w:val="335E433E"/>
    <w:rsid w:val="33AF2F9D"/>
    <w:rsid w:val="33F83171"/>
    <w:rsid w:val="34935741"/>
    <w:rsid w:val="359D3F45"/>
    <w:rsid w:val="36220C70"/>
    <w:rsid w:val="36950046"/>
    <w:rsid w:val="36E32390"/>
    <w:rsid w:val="37737FEE"/>
    <w:rsid w:val="378E5068"/>
    <w:rsid w:val="37BA58BB"/>
    <w:rsid w:val="3844757A"/>
    <w:rsid w:val="38A12410"/>
    <w:rsid w:val="38B913EA"/>
    <w:rsid w:val="399009B2"/>
    <w:rsid w:val="399A3BF6"/>
    <w:rsid w:val="39DB6221"/>
    <w:rsid w:val="39F51522"/>
    <w:rsid w:val="3A95314A"/>
    <w:rsid w:val="3AF13C3D"/>
    <w:rsid w:val="3B7965CD"/>
    <w:rsid w:val="3C315BF1"/>
    <w:rsid w:val="3C4C6EF3"/>
    <w:rsid w:val="3CA13BED"/>
    <w:rsid w:val="3D3C762E"/>
    <w:rsid w:val="3D596B10"/>
    <w:rsid w:val="3D5E0CEB"/>
    <w:rsid w:val="3D8974D5"/>
    <w:rsid w:val="3E484760"/>
    <w:rsid w:val="3E8044ED"/>
    <w:rsid w:val="3E877309"/>
    <w:rsid w:val="3FB7125F"/>
    <w:rsid w:val="3FC1012F"/>
    <w:rsid w:val="3FF56653"/>
    <w:rsid w:val="401F7F1F"/>
    <w:rsid w:val="40F46C43"/>
    <w:rsid w:val="411848FF"/>
    <w:rsid w:val="41342993"/>
    <w:rsid w:val="41BD0482"/>
    <w:rsid w:val="41D23E80"/>
    <w:rsid w:val="42470BBB"/>
    <w:rsid w:val="42484FE9"/>
    <w:rsid w:val="42F81943"/>
    <w:rsid w:val="43972F00"/>
    <w:rsid w:val="44B72CCB"/>
    <w:rsid w:val="450A1E65"/>
    <w:rsid w:val="456B1D5E"/>
    <w:rsid w:val="45F279A9"/>
    <w:rsid w:val="46030BCD"/>
    <w:rsid w:val="4603126E"/>
    <w:rsid w:val="47743CD8"/>
    <w:rsid w:val="47A218BB"/>
    <w:rsid w:val="481F723A"/>
    <w:rsid w:val="482E1623"/>
    <w:rsid w:val="487F030A"/>
    <w:rsid w:val="48CB0DCD"/>
    <w:rsid w:val="490A4C4E"/>
    <w:rsid w:val="49293FC3"/>
    <w:rsid w:val="492A6869"/>
    <w:rsid w:val="49CD0D54"/>
    <w:rsid w:val="4A880170"/>
    <w:rsid w:val="4A9C3808"/>
    <w:rsid w:val="4AE14FD9"/>
    <w:rsid w:val="4B425273"/>
    <w:rsid w:val="4BF239BB"/>
    <w:rsid w:val="4C9269AF"/>
    <w:rsid w:val="4C964C57"/>
    <w:rsid w:val="4CC5453C"/>
    <w:rsid w:val="4D0A0F0D"/>
    <w:rsid w:val="4D73233C"/>
    <w:rsid w:val="4DF36DFD"/>
    <w:rsid w:val="4EE80B08"/>
    <w:rsid w:val="507A5F8E"/>
    <w:rsid w:val="5110327E"/>
    <w:rsid w:val="512D57DB"/>
    <w:rsid w:val="51B004A6"/>
    <w:rsid w:val="533320AD"/>
    <w:rsid w:val="53D73908"/>
    <w:rsid w:val="54EE4488"/>
    <w:rsid w:val="55266F3B"/>
    <w:rsid w:val="553E0876"/>
    <w:rsid w:val="559B4463"/>
    <w:rsid w:val="55CE6CAA"/>
    <w:rsid w:val="55E510AC"/>
    <w:rsid w:val="56442BBB"/>
    <w:rsid w:val="56AB19D2"/>
    <w:rsid w:val="572D1669"/>
    <w:rsid w:val="574B347F"/>
    <w:rsid w:val="57BA4B5E"/>
    <w:rsid w:val="57D34819"/>
    <w:rsid w:val="5825522E"/>
    <w:rsid w:val="592D3CE7"/>
    <w:rsid w:val="5BF76D7E"/>
    <w:rsid w:val="5C157045"/>
    <w:rsid w:val="5C52370C"/>
    <w:rsid w:val="5D59758B"/>
    <w:rsid w:val="5E5E2B95"/>
    <w:rsid w:val="5EE428ED"/>
    <w:rsid w:val="5F9F09A2"/>
    <w:rsid w:val="60067EFC"/>
    <w:rsid w:val="601E51C7"/>
    <w:rsid w:val="60342DAE"/>
    <w:rsid w:val="60C254DF"/>
    <w:rsid w:val="613C20BE"/>
    <w:rsid w:val="614574AF"/>
    <w:rsid w:val="61F75FB6"/>
    <w:rsid w:val="6247210C"/>
    <w:rsid w:val="62917AA2"/>
    <w:rsid w:val="62DE4402"/>
    <w:rsid w:val="62EC076F"/>
    <w:rsid w:val="63CE1616"/>
    <w:rsid w:val="6417097E"/>
    <w:rsid w:val="64801FB8"/>
    <w:rsid w:val="64C0359C"/>
    <w:rsid w:val="654A5C21"/>
    <w:rsid w:val="65553C89"/>
    <w:rsid w:val="65FF07B9"/>
    <w:rsid w:val="661C0C7C"/>
    <w:rsid w:val="664F0CB2"/>
    <w:rsid w:val="699E21EA"/>
    <w:rsid w:val="69E93B36"/>
    <w:rsid w:val="6A4F3D78"/>
    <w:rsid w:val="6A536C94"/>
    <w:rsid w:val="6A8D16CC"/>
    <w:rsid w:val="6AB22299"/>
    <w:rsid w:val="6AFA5111"/>
    <w:rsid w:val="6BF449CD"/>
    <w:rsid w:val="6C045510"/>
    <w:rsid w:val="6C134AAA"/>
    <w:rsid w:val="6C7E24CF"/>
    <w:rsid w:val="6C960E8E"/>
    <w:rsid w:val="6D4D7655"/>
    <w:rsid w:val="6F762728"/>
    <w:rsid w:val="70375D6A"/>
    <w:rsid w:val="7045438D"/>
    <w:rsid w:val="706F1065"/>
    <w:rsid w:val="712A52FE"/>
    <w:rsid w:val="716F055D"/>
    <w:rsid w:val="7197506A"/>
    <w:rsid w:val="71B2536F"/>
    <w:rsid w:val="738108E5"/>
    <w:rsid w:val="73A32EF4"/>
    <w:rsid w:val="74675424"/>
    <w:rsid w:val="74886234"/>
    <w:rsid w:val="75AE4E70"/>
    <w:rsid w:val="78120D62"/>
    <w:rsid w:val="78927AFF"/>
    <w:rsid w:val="78F07D11"/>
    <w:rsid w:val="794F5518"/>
    <w:rsid w:val="79517126"/>
    <w:rsid w:val="795E03AD"/>
    <w:rsid w:val="79C6222A"/>
    <w:rsid w:val="7A6D41AF"/>
    <w:rsid w:val="7B533824"/>
    <w:rsid w:val="7B787792"/>
    <w:rsid w:val="7CA324A6"/>
    <w:rsid w:val="7CA52CD0"/>
    <w:rsid w:val="7CC37FA4"/>
    <w:rsid w:val="7DA404B6"/>
    <w:rsid w:val="7DDD373D"/>
    <w:rsid w:val="7E3478FA"/>
    <w:rsid w:val="7E6D33A0"/>
    <w:rsid w:val="7EED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outlineLvl w:val="0"/>
    </w:pPr>
    <w:rPr>
      <w:rFonts w:eastAsia="方正仿宋_GBK" w:cs="方正仿宋_GBK"/>
      <w:b/>
      <w:kern w:val="44"/>
      <w:sz w:val="32"/>
      <w:szCs w:val="32"/>
    </w:rPr>
  </w:style>
  <w:style w:type="paragraph" w:styleId="3">
    <w:name w:val="heading 2"/>
    <w:basedOn w:val="1"/>
    <w:next w:val="1"/>
    <w:link w:val="27"/>
    <w:autoRedefine/>
    <w:qFormat/>
    <w:uiPriority w:val="0"/>
    <w:pPr>
      <w:keepNext/>
      <w:keepLines/>
      <w:spacing w:line="360" w:lineRule="auto"/>
      <w:outlineLvl w:val="1"/>
    </w:pPr>
    <w:rPr>
      <w:rFonts w:ascii="方正仿宋_GBK" w:hAnsi="方正仿宋_GBK" w:eastAsia="方正仿宋_GBK" w:cs="方正仿宋_GBK"/>
      <w:b/>
      <w:bCs/>
      <w:sz w:val="32"/>
      <w:szCs w:val="32"/>
    </w:rPr>
  </w:style>
  <w:style w:type="paragraph" w:styleId="4">
    <w:name w:val="heading 3"/>
    <w:basedOn w:val="1"/>
    <w:next w:val="1"/>
    <w:link w:val="41"/>
    <w:autoRedefine/>
    <w:unhideWhenUsed/>
    <w:qFormat/>
    <w:uiPriority w:val="9"/>
    <w:pPr>
      <w:keepNext/>
      <w:keepLines/>
      <w:spacing w:line="412" w:lineRule="auto"/>
      <w:jc w:val="center"/>
      <w:outlineLvl w:val="2"/>
    </w:pPr>
    <w:rPr>
      <w:rFonts w:hint="eastAsia" w:ascii="方正仿宋_GBK" w:hAnsi="方正仿宋_GBK" w:eastAsia="方正仿宋_GBK" w:cs="Times New Roman"/>
      <w:b/>
      <w:bCs/>
      <w:kern w:val="0"/>
      <w:sz w:val="32"/>
      <w:szCs w:val="32"/>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2520" w:leftChars="1200"/>
    </w:pPr>
  </w:style>
  <w:style w:type="paragraph" w:styleId="6">
    <w:name w:val="Document Map"/>
    <w:basedOn w:val="1"/>
    <w:link w:val="33"/>
    <w:autoRedefine/>
    <w:unhideWhenUsed/>
    <w:qFormat/>
    <w:uiPriority w:val="99"/>
    <w:rPr>
      <w:rFonts w:ascii="宋体" w:eastAsia="宋体"/>
      <w:sz w:val="18"/>
      <w:szCs w:val="18"/>
    </w:rPr>
  </w:style>
  <w:style w:type="paragraph" w:styleId="7">
    <w:name w:val="Body Text 3"/>
    <w:basedOn w:val="1"/>
    <w:autoRedefine/>
    <w:qFormat/>
    <w:uiPriority w:val="0"/>
    <w:pPr>
      <w:widowControl/>
      <w:jc w:val="center"/>
    </w:pPr>
    <w:rPr>
      <w:sz w:val="10"/>
      <w:szCs w:val="10"/>
    </w:rPr>
  </w:style>
  <w:style w:type="paragraph" w:styleId="8">
    <w:name w:val="Body Text"/>
    <w:basedOn w:val="1"/>
    <w:next w:val="1"/>
    <w:link w:val="40"/>
    <w:autoRedefine/>
    <w:qFormat/>
    <w:uiPriority w:val="0"/>
    <w:pPr>
      <w:spacing w:after="120"/>
    </w:pPr>
    <w:rPr>
      <w:rFonts w:ascii="Times New Roman" w:hAnsi="Times New Roman" w:eastAsia="宋体" w:cs="Times New Roman"/>
      <w:szCs w:val="24"/>
    </w:rPr>
  </w:style>
  <w:style w:type="paragraph" w:styleId="9">
    <w:name w:val="toc 5"/>
    <w:basedOn w:val="1"/>
    <w:next w:val="1"/>
    <w:autoRedefine/>
    <w:unhideWhenUsed/>
    <w:qFormat/>
    <w:uiPriority w:val="39"/>
    <w:pPr>
      <w:ind w:left="1680" w:leftChars="800"/>
    </w:pPr>
  </w:style>
  <w:style w:type="paragraph" w:styleId="10">
    <w:name w:val="toc 3"/>
    <w:basedOn w:val="1"/>
    <w:next w:val="1"/>
    <w:autoRedefine/>
    <w:unhideWhenUsed/>
    <w:qFormat/>
    <w:uiPriority w:val="39"/>
    <w:pPr>
      <w:ind w:left="840" w:leftChars="400"/>
    </w:pPr>
  </w:style>
  <w:style w:type="paragraph" w:styleId="11">
    <w:name w:val="toc 8"/>
    <w:basedOn w:val="1"/>
    <w:next w:val="1"/>
    <w:autoRedefine/>
    <w:unhideWhenUsed/>
    <w:qFormat/>
    <w:uiPriority w:val="39"/>
    <w:pPr>
      <w:ind w:left="2940" w:leftChars="1400"/>
    </w:pPr>
  </w:style>
  <w:style w:type="paragraph" w:styleId="12">
    <w:name w:val="Balloon Text"/>
    <w:basedOn w:val="1"/>
    <w:link w:val="32"/>
    <w:autoRedefine/>
    <w:unhideWhenUsed/>
    <w:qFormat/>
    <w:uiPriority w:val="99"/>
    <w:rPr>
      <w:sz w:val="18"/>
      <w:szCs w:val="18"/>
    </w:rPr>
  </w:style>
  <w:style w:type="paragraph" w:styleId="13">
    <w:name w:val="footer"/>
    <w:basedOn w:val="1"/>
    <w:link w:val="29"/>
    <w:autoRedefine/>
    <w:unhideWhenUsed/>
    <w:qFormat/>
    <w:uiPriority w:val="99"/>
    <w:pPr>
      <w:tabs>
        <w:tab w:val="center" w:pos="4153"/>
        <w:tab w:val="right" w:pos="8306"/>
      </w:tabs>
      <w:snapToGrid w:val="0"/>
      <w:jc w:val="left"/>
    </w:pPr>
    <w:rPr>
      <w:sz w:val="18"/>
      <w:szCs w:val="18"/>
    </w:rPr>
  </w:style>
  <w:style w:type="paragraph" w:styleId="14">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unhideWhenUsed/>
    <w:qFormat/>
    <w:uiPriority w:val="39"/>
  </w:style>
  <w:style w:type="paragraph" w:styleId="16">
    <w:name w:val="toc 4"/>
    <w:basedOn w:val="1"/>
    <w:next w:val="1"/>
    <w:autoRedefine/>
    <w:unhideWhenUsed/>
    <w:qFormat/>
    <w:uiPriority w:val="39"/>
    <w:pPr>
      <w:ind w:left="1260" w:leftChars="600"/>
    </w:pPr>
  </w:style>
  <w:style w:type="paragraph" w:styleId="17">
    <w:name w:val="Subtitle"/>
    <w:basedOn w:val="1"/>
    <w:next w:val="1"/>
    <w:autoRedefine/>
    <w:qFormat/>
    <w:uiPriority w:val="0"/>
    <w:rPr>
      <w:sz w:val="28"/>
    </w:rPr>
  </w:style>
  <w:style w:type="paragraph" w:styleId="18">
    <w:name w:val="toc 6"/>
    <w:basedOn w:val="1"/>
    <w:next w:val="1"/>
    <w:autoRedefine/>
    <w:unhideWhenUsed/>
    <w:qFormat/>
    <w:uiPriority w:val="39"/>
    <w:pPr>
      <w:ind w:left="2100" w:leftChars="1000"/>
    </w:pPr>
  </w:style>
  <w:style w:type="paragraph" w:styleId="19">
    <w:name w:val="toc 2"/>
    <w:basedOn w:val="1"/>
    <w:next w:val="1"/>
    <w:autoRedefine/>
    <w:unhideWhenUsed/>
    <w:qFormat/>
    <w:uiPriority w:val="39"/>
    <w:pPr>
      <w:ind w:left="420" w:leftChars="200"/>
    </w:pPr>
  </w:style>
  <w:style w:type="paragraph" w:styleId="20">
    <w:name w:val="toc 9"/>
    <w:basedOn w:val="1"/>
    <w:next w:val="1"/>
    <w:autoRedefine/>
    <w:unhideWhenUsed/>
    <w:qFormat/>
    <w:uiPriority w:val="39"/>
    <w:pPr>
      <w:ind w:left="3360" w:leftChars="1600"/>
    </w:pPr>
  </w:style>
  <w:style w:type="paragraph" w:styleId="21">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table" w:styleId="23">
    <w:name w:val="Table Grid"/>
    <w:basedOn w:val="2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引用1"/>
    <w:next w:val="1"/>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6">
    <w:name w:val="Heading2"/>
    <w:basedOn w:val="1"/>
    <w:next w:val="1"/>
    <w:autoRedefine/>
    <w:semiHidden/>
    <w:qFormat/>
    <w:uiPriority w:val="0"/>
    <w:pPr>
      <w:keepNext/>
      <w:keepLines/>
      <w:spacing w:before="260" w:after="260" w:line="416" w:lineRule="auto"/>
    </w:pPr>
    <w:rPr>
      <w:rFonts w:ascii="Cambria" w:hAnsi="Cambria" w:cs="Times New Roman"/>
      <w:b/>
      <w:bCs/>
      <w:sz w:val="32"/>
      <w:szCs w:val="32"/>
    </w:rPr>
  </w:style>
  <w:style w:type="character" w:customStyle="1" w:styleId="27">
    <w:name w:val="标题 2 字符"/>
    <w:basedOn w:val="24"/>
    <w:link w:val="3"/>
    <w:autoRedefine/>
    <w:qFormat/>
    <w:uiPriority w:val="0"/>
    <w:rPr>
      <w:rFonts w:ascii="方正仿宋_GBK" w:hAnsi="方正仿宋_GBK" w:eastAsia="方正仿宋_GBK" w:cs="方正仿宋_GBK"/>
      <w:b/>
      <w:bCs/>
      <w:sz w:val="32"/>
      <w:szCs w:val="32"/>
    </w:rPr>
  </w:style>
  <w:style w:type="character" w:customStyle="1" w:styleId="28">
    <w:name w:val="正文文本 字符"/>
    <w:basedOn w:val="24"/>
    <w:autoRedefine/>
    <w:qFormat/>
    <w:uiPriority w:val="0"/>
    <w:rPr>
      <w:rFonts w:ascii="Times New Roman" w:hAnsi="Times New Roman" w:eastAsia="宋体" w:cs="Times New Roman"/>
      <w:szCs w:val="24"/>
    </w:rPr>
  </w:style>
  <w:style w:type="character" w:customStyle="1" w:styleId="29">
    <w:name w:val="页脚 字符"/>
    <w:basedOn w:val="24"/>
    <w:link w:val="13"/>
    <w:autoRedefine/>
    <w:qFormat/>
    <w:uiPriority w:val="99"/>
    <w:rPr>
      <w:sz w:val="18"/>
      <w:szCs w:val="18"/>
    </w:rPr>
  </w:style>
  <w:style w:type="paragraph" w:customStyle="1" w:styleId="30">
    <w:name w:val="正文首行缩进两字符"/>
    <w:basedOn w:val="1"/>
    <w:autoRedefine/>
    <w:qFormat/>
    <w:uiPriority w:val="0"/>
    <w:pPr>
      <w:spacing w:line="360" w:lineRule="auto"/>
      <w:ind w:firstLine="200" w:firstLineChars="200"/>
    </w:pPr>
    <w:rPr>
      <w:rFonts w:ascii="Times New Roman" w:hAnsi="Times New Roman" w:eastAsia="宋体" w:cs="Times New Roman"/>
      <w:szCs w:val="24"/>
    </w:rPr>
  </w:style>
  <w:style w:type="character" w:customStyle="1" w:styleId="31">
    <w:name w:val="页眉 字符"/>
    <w:basedOn w:val="24"/>
    <w:link w:val="14"/>
    <w:autoRedefine/>
    <w:semiHidden/>
    <w:qFormat/>
    <w:uiPriority w:val="99"/>
    <w:rPr>
      <w:kern w:val="2"/>
      <w:sz w:val="18"/>
      <w:szCs w:val="18"/>
    </w:rPr>
  </w:style>
  <w:style w:type="character" w:customStyle="1" w:styleId="32">
    <w:name w:val="批注框文本 字符"/>
    <w:basedOn w:val="24"/>
    <w:link w:val="12"/>
    <w:autoRedefine/>
    <w:semiHidden/>
    <w:qFormat/>
    <w:uiPriority w:val="99"/>
    <w:rPr>
      <w:kern w:val="2"/>
      <w:sz w:val="18"/>
      <w:szCs w:val="18"/>
    </w:rPr>
  </w:style>
  <w:style w:type="character" w:customStyle="1" w:styleId="33">
    <w:name w:val="文档结构图 字符"/>
    <w:basedOn w:val="24"/>
    <w:link w:val="6"/>
    <w:autoRedefine/>
    <w:semiHidden/>
    <w:qFormat/>
    <w:uiPriority w:val="99"/>
    <w:rPr>
      <w:rFonts w:ascii="宋体" w:eastAsia="宋体"/>
      <w:kern w:val="2"/>
      <w:sz w:val="18"/>
      <w:szCs w:val="18"/>
    </w:rPr>
  </w:style>
  <w:style w:type="character" w:customStyle="1" w:styleId="34">
    <w:name w:val="font61"/>
    <w:basedOn w:val="24"/>
    <w:autoRedefine/>
    <w:qFormat/>
    <w:uiPriority w:val="0"/>
    <w:rPr>
      <w:rFonts w:hint="eastAsia" w:ascii="宋体" w:hAnsi="宋体" w:eastAsia="宋体" w:cs="宋体"/>
      <w:color w:val="000000"/>
      <w:sz w:val="24"/>
      <w:szCs w:val="24"/>
      <w:u w:val="none"/>
    </w:rPr>
  </w:style>
  <w:style w:type="character" w:customStyle="1" w:styleId="35">
    <w:name w:val="font31"/>
    <w:basedOn w:val="24"/>
    <w:autoRedefine/>
    <w:qFormat/>
    <w:uiPriority w:val="0"/>
    <w:rPr>
      <w:rFonts w:hint="eastAsia" w:ascii="Microsoft JhengHei" w:hAnsi="Microsoft JhengHei" w:eastAsia="Microsoft JhengHei" w:cs="Microsoft JhengHei"/>
      <w:color w:val="000000"/>
      <w:sz w:val="24"/>
      <w:szCs w:val="24"/>
      <w:u w:val="none"/>
    </w:rPr>
  </w:style>
  <w:style w:type="paragraph" w:customStyle="1" w:styleId="36">
    <w:name w:val="Other|1"/>
    <w:basedOn w:val="1"/>
    <w:autoRedefine/>
    <w:qFormat/>
    <w:uiPriority w:val="0"/>
    <w:pPr>
      <w:spacing w:line="394" w:lineRule="auto"/>
      <w:ind w:firstLine="400"/>
    </w:pPr>
    <w:rPr>
      <w:rFonts w:ascii="宋体" w:hAnsi="宋体" w:eastAsia="宋体" w:cs="宋体"/>
      <w:sz w:val="30"/>
      <w:szCs w:val="30"/>
      <w:lang w:val="zh-TW" w:eastAsia="zh-TW" w:bidi="zh-TW"/>
    </w:rPr>
  </w:style>
  <w:style w:type="paragraph" w:customStyle="1" w:styleId="37">
    <w:name w:val="Body text|1"/>
    <w:basedOn w:val="1"/>
    <w:autoRedefine/>
    <w:qFormat/>
    <w:uiPriority w:val="0"/>
    <w:pPr>
      <w:spacing w:line="394" w:lineRule="auto"/>
      <w:ind w:firstLine="400"/>
    </w:pPr>
    <w:rPr>
      <w:rFonts w:ascii="宋体" w:hAnsi="宋体" w:eastAsia="宋体" w:cs="宋体"/>
      <w:sz w:val="30"/>
      <w:szCs w:val="30"/>
      <w:lang w:val="zh-TW" w:eastAsia="zh-TW" w:bidi="zh-TW"/>
    </w:rPr>
  </w:style>
  <w:style w:type="character" w:customStyle="1" w:styleId="38">
    <w:name w:val="font01"/>
    <w:basedOn w:val="24"/>
    <w:autoRedefine/>
    <w:qFormat/>
    <w:uiPriority w:val="0"/>
    <w:rPr>
      <w:rFonts w:hint="eastAsia" w:ascii="宋体" w:hAnsi="宋体" w:eastAsia="宋体" w:cs="宋体"/>
      <w:color w:val="000000"/>
      <w:sz w:val="18"/>
      <w:szCs w:val="18"/>
      <w:u w:val="none"/>
    </w:rPr>
  </w:style>
  <w:style w:type="paragraph" w:customStyle="1" w:styleId="39">
    <w:name w:val="列出段落1"/>
    <w:basedOn w:val="1"/>
    <w:autoRedefine/>
    <w:qFormat/>
    <w:uiPriority w:val="1"/>
    <w:pPr>
      <w:spacing w:before="4"/>
      <w:ind w:left="440" w:firstLine="559"/>
    </w:pPr>
    <w:rPr>
      <w:rFonts w:ascii="方正仿宋_GBK" w:hAnsi="方正仿宋_GBK" w:eastAsia="方正仿宋_GBK" w:cs="方正仿宋_GBK"/>
      <w:lang w:val="zh-CN" w:bidi="zh-CN"/>
    </w:rPr>
  </w:style>
  <w:style w:type="character" w:customStyle="1" w:styleId="40">
    <w:name w:val="正文文本 字符1"/>
    <w:basedOn w:val="24"/>
    <w:link w:val="8"/>
    <w:autoRedefine/>
    <w:qFormat/>
    <w:uiPriority w:val="0"/>
    <w:rPr>
      <w:rFonts w:hint="eastAsia" w:ascii="方正仿宋_GBK" w:hAnsi="方正仿宋_GBK" w:eastAsia="方正仿宋_GBK" w:cs="方正仿宋_GBK"/>
      <w:kern w:val="2"/>
      <w:sz w:val="28"/>
      <w:szCs w:val="22"/>
    </w:rPr>
  </w:style>
  <w:style w:type="character" w:customStyle="1" w:styleId="41">
    <w:name w:val="标题 3 字符"/>
    <w:basedOn w:val="24"/>
    <w:link w:val="4"/>
    <w:autoRedefine/>
    <w:qFormat/>
    <w:uiPriority w:val="0"/>
    <w:rPr>
      <w:rFonts w:hint="eastAsia" w:ascii="方正仿宋_GBK" w:hAnsi="方正仿宋_GBK" w:eastAsia="方正仿宋_GBK" w:cs="方正仿宋_GBK"/>
      <w:b/>
      <w:bCs/>
      <w:sz w:val="32"/>
      <w:szCs w:val="32"/>
    </w:rPr>
  </w:style>
  <w:style w:type="paragraph" w:customStyle="1" w:styleId="42">
    <w:name w:val="WPSOffice手动目录 1"/>
    <w:autoRedefine/>
    <w:qFormat/>
    <w:uiPriority w:val="0"/>
    <w:rPr>
      <w:rFonts w:ascii="Times New Roman" w:hAnsi="Times New Roman" w:eastAsia="宋体" w:cs="Times New Roman"/>
      <w:lang w:val="en-US" w:eastAsia="zh-CN" w:bidi="ar-SA"/>
    </w:rPr>
  </w:style>
  <w:style w:type="paragraph" w:styleId="43">
    <w:name w:val="List Paragraph"/>
    <w:basedOn w:val="1"/>
    <w:autoRedefine/>
    <w:unhideWhenUsed/>
    <w:qFormat/>
    <w:uiPriority w:val="99"/>
    <w:pPr>
      <w:ind w:firstLine="420" w:firstLineChars="200"/>
    </w:pPr>
  </w:style>
  <w:style w:type="paragraph" w:customStyle="1" w:styleId="44">
    <w:name w:val="Default"/>
    <w:autoRedefine/>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 w:type="paragraph" w:customStyle="1" w:styleId="45">
    <w:name w:val="Normal_1_0"/>
    <w:autoRedefine/>
    <w:qFormat/>
    <w:uiPriority w:val="0"/>
    <w:rPr>
      <w:rFonts w:ascii="宋体" w:hAnsi="宋体" w:eastAsia="宋体" w:cs="Times New Roman"/>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39</Pages>
  <Words>14105</Words>
  <Characters>14706</Characters>
  <Lines>143</Lines>
  <Paragraphs>40</Paragraphs>
  <TotalTime>17</TotalTime>
  <ScaleCrop>false</ScaleCrop>
  <LinksUpToDate>false</LinksUpToDate>
  <CharactersWithSpaces>15423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祁十七</cp:lastModifiedBy>
  <cp:lastPrinted>2022-12-30T03:24:00Z</cp:lastPrinted>
  <dcterms:modified xsi:type="dcterms:W3CDTF">2024-03-26T06:15:37Z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704894929_btnclosed</vt:lpwstr>
  </property>
  <property fmtid="{D5CDD505-2E9C-101B-9397-08002B2CF9AE}" pid="4" name="ICV">
    <vt:lpwstr>B508E66ADDDD4D659BC1FD7A99C3D2A2_13</vt:lpwstr>
  </property>
</Properties>
</file>