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810C27B">
      <w:pPr>
        <w:rPr>
          <w:rFonts w:ascii="方正仿宋_GBK" w:hAnsi="方正仿宋_GBK" w:eastAsia="方正仿宋_GBK" w:cs="方正仿宋_GBK"/>
          <w:sz w:val="28"/>
          <w:szCs w:val="28"/>
        </w:rPr>
      </w:pPr>
    </w:p>
    <w:p w14:paraId="30175BA3">
      <w:pPr>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drawing>
          <wp:inline distT="0" distB="0" distL="114300" distR="114300">
            <wp:extent cx="756920" cy="289560"/>
            <wp:effectExtent l="0" t="0" r="5080" b="15240"/>
            <wp:docPr id="2" name="图片 3" descr="C:\Users\WINDOW~1\AppData\Local\Temp\WeChat Files\4e7cb81867e122dedb54d57048c4f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C:\Users\WINDOW~1\AppData\Local\Temp\WeChat Files\4e7cb81867e122dedb54d57048c4fb4.png"/>
                    <pic:cNvPicPr>
                      <a:picLocks noChangeAspect="1"/>
                    </pic:cNvPicPr>
                  </pic:nvPicPr>
                  <pic:blipFill>
                    <a:blip r:embed="rId7"/>
                    <a:stretch>
                      <a:fillRect/>
                    </a:stretch>
                  </pic:blipFill>
                  <pic:spPr>
                    <a:xfrm>
                      <a:off x="0" y="0"/>
                      <a:ext cx="756920" cy="289560"/>
                    </a:xfrm>
                    <a:prstGeom prst="rect">
                      <a:avLst/>
                    </a:prstGeom>
                    <a:noFill/>
                    <a:ln>
                      <a:noFill/>
                    </a:ln>
                  </pic:spPr>
                </pic:pic>
              </a:graphicData>
            </a:graphic>
          </wp:inline>
        </w:drawing>
      </w:r>
    </w:p>
    <w:p w14:paraId="14A743AA">
      <w:pPr>
        <w:pStyle w:val="7"/>
      </w:pPr>
    </w:p>
    <w:p w14:paraId="56F78B90">
      <w:pPr>
        <w:jc w:val="center"/>
        <w:rPr>
          <w:rFonts w:hint="eastAsia" w:ascii="方正仿宋_GBK" w:hAnsi="方正仿宋_GBK" w:eastAsia="方正仿宋_GBK" w:cs="方正仿宋_GBK"/>
          <w:bCs/>
          <w:sz w:val="48"/>
          <w:szCs w:val="48"/>
          <w:lang w:eastAsia="zh-CN"/>
        </w:rPr>
      </w:pPr>
      <w:r>
        <w:rPr>
          <w:rFonts w:hint="eastAsia" w:ascii="方正仿宋_GBK" w:hAnsi="方正仿宋_GBK" w:eastAsia="方正仿宋_GBK" w:cs="方正仿宋_GBK"/>
          <w:bCs/>
          <w:sz w:val="48"/>
          <w:szCs w:val="48"/>
          <w:lang w:eastAsia="zh-CN"/>
        </w:rPr>
        <w:t>SCZJDL〔202</w:t>
      </w:r>
      <w:r>
        <w:rPr>
          <w:rFonts w:hint="eastAsia" w:ascii="方正仿宋_GBK" w:hAnsi="方正仿宋_GBK" w:eastAsia="方正仿宋_GBK" w:cs="方正仿宋_GBK"/>
          <w:bCs/>
          <w:sz w:val="48"/>
          <w:szCs w:val="48"/>
          <w:lang w:val="en-US" w:eastAsia="zh-CN"/>
        </w:rPr>
        <w:t>4</w:t>
      </w:r>
      <w:r>
        <w:rPr>
          <w:rFonts w:hint="eastAsia" w:ascii="方正仿宋_GBK" w:hAnsi="方正仿宋_GBK" w:eastAsia="方正仿宋_GBK" w:cs="方正仿宋_GBK"/>
          <w:bCs/>
          <w:sz w:val="48"/>
          <w:szCs w:val="48"/>
          <w:lang w:eastAsia="zh-CN"/>
        </w:rPr>
        <w:t>〕</w:t>
      </w:r>
      <w:r>
        <w:rPr>
          <w:rFonts w:hint="eastAsia" w:ascii="方正仿宋_GBK" w:hAnsi="方正仿宋_GBK" w:eastAsia="方正仿宋_GBK" w:cs="方正仿宋_GBK"/>
          <w:bCs/>
          <w:sz w:val="48"/>
          <w:szCs w:val="48"/>
          <w:lang w:val="en-US" w:eastAsia="zh-CN"/>
        </w:rPr>
        <w:t>52</w:t>
      </w:r>
      <w:r>
        <w:rPr>
          <w:rFonts w:hint="eastAsia" w:ascii="方正仿宋_GBK" w:hAnsi="方正仿宋_GBK" w:eastAsia="方正仿宋_GBK" w:cs="方正仿宋_GBK"/>
          <w:bCs/>
          <w:sz w:val="48"/>
          <w:szCs w:val="48"/>
          <w:lang w:eastAsia="zh-CN"/>
        </w:rPr>
        <w:t>号</w:t>
      </w:r>
    </w:p>
    <w:p w14:paraId="4C490637">
      <w:pPr>
        <w:spacing w:line="360" w:lineRule="auto"/>
        <w:jc w:val="center"/>
        <w:rPr>
          <w:rFonts w:hint="eastAsia" w:ascii="方正仿宋_GBK" w:hAnsi="方正仿宋_GBK" w:eastAsia="方正仿宋_GBK" w:cs="方正仿宋_GBK"/>
          <w:sz w:val="40"/>
          <w:szCs w:val="40"/>
          <w:highlight w:val="none"/>
          <w:lang w:val="en-US" w:eastAsia="zh-CN"/>
        </w:rPr>
      </w:pPr>
      <w:r>
        <w:rPr>
          <w:rFonts w:hint="eastAsia" w:ascii="方正仿宋_GBK" w:hAnsi="方正仿宋_GBK" w:eastAsia="方正仿宋_GBK" w:cs="方正仿宋_GBK"/>
          <w:sz w:val="40"/>
          <w:szCs w:val="40"/>
          <w:highlight w:val="none"/>
          <w:lang w:val="en-US" w:eastAsia="zh-CN"/>
        </w:rPr>
        <w:t>市体育馆、游泳馆采购消防维保服务</w:t>
      </w:r>
    </w:p>
    <w:p w14:paraId="6B266C8B">
      <w:pPr>
        <w:jc w:val="center"/>
        <w:rPr>
          <w:rFonts w:ascii="方正仿宋_GBK" w:hAnsi="方正仿宋_GBK" w:eastAsia="方正仿宋_GBK" w:cs="方正仿宋_GBK"/>
          <w:bCs/>
          <w:sz w:val="48"/>
          <w:szCs w:val="48"/>
        </w:rPr>
      </w:pPr>
    </w:p>
    <w:p w14:paraId="5E0F718F">
      <w:pPr>
        <w:jc w:val="center"/>
        <w:rPr>
          <w:rFonts w:ascii="方正仿宋_GBK" w:hAnsi="方正仿宋_GBK" w:eastAsia="方正仿宋_GBK" w:cs="方正仿宋_GBK"/>
          <w:b/>
          <w:sz w:val="72"/>
          <w:szCs w:val="72"/>
        </w:rPr>
      </w:pPr>
      <w:r>
        <w:rPr>
          <w:rFonts w:hint="eastAsia" w:ascii="方正仿宋_GBK" w:hAnsi="方正仿宋_GBK" w:eastAsia="方正仿宋_GBK" w:cs="方正仿宋_GBK"/>
          <w:b/>
          <w:sz w:val="72"/>
          <w:szCs w:val="72"/>
        </w:rPr>
        <w:t>竞争性磋商文件</w:t>
      </w:r>
    </w:p>
    <w:p w14:paraId="4B2609F6">
      <w:pPr>
        <w:pStyle w:val="7"/>
        <w:rPr>
          <w:rFonts w:ascii="方正仿宋_GBK" w:hAnsi="方正仿宋_GBK" w:eastAsia="方正仿宋_GBK" w:cs="方正仿宋_GBK"/>
          <w:b/>
          <w:sz w:val="72"/>
          <w:szCs w:val="72"/>
        </w:rPr>
      </w:pPr>
    </w:p>
    <w:p w14:paraId="6572DE8F">
      <w:pPr>
        <w:rPr>
          <w:rFonts w:ascii="方正仿宋_GBK" w:hAnsi="方正仿宋_GBK" w:eastAsia="方正仿宋_GBK" w:cs="方正仿宋_GBK"/>
          <w:b/>
          <w:sz w:val="72"/>
          <w:szCs w:val="72"/>
        </w:rPr>
      </w:pPr>
    </w:p>
    <w:p w14:paraId="13236B6B">
      <w:pPr>
        <w:jc w:val="center"/>
        <w:rPr>
          <w:rFonts w:hint="eastAsia" w:ascii="方正仿宋_GBK" w:hAnsi="方正仿宋_GBK" w:eastAsia="方正仿宋_GBK" w:cs="方正仿宋_GBK"/>
          <w:bCs/>
          <w:sz w:val="32"/>
          <w:szCs w:val="32"/>
          <w:lang w:eastAsia="zh-CN"/>
        </w:rPr>
      </w:pPr>
      <w:r>
        <w:rPr>
          <w:rFonts w:hint="eastAsia" w:ascii="方正仿宋_GBK" w:eastAsia="方正仿宋_GBK"/>
          <w:sz w:val="32"/>
          <w:szCs w:val="32"/>
        </w:rPr>
        <w:t>巴中市文化广播电视体育和旅游局</w:t>
      </w:r>
    </w:p>
    <w:p w14:paraId="4FD9F828">
      <w:pPr>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四川振嘉工程招标代理有限公司</w:t>
      </w:r>
    </w:p>
    <w:p w14:paraId="14FCD6D2">
      <w:pPr>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共同编制</w:t>
      </w:r>
    </w:p>
    <w:p w14:paraId="5D57FE61">
      <w:pPr>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中国·巴中</w:t>
      </w:r>
    </w:p>
    <w:p w14:paraId="0446DB0B">
      <w:pPr>
        <w:jc w:val="center"/>
        <w:rPr>
          <w:rFonts w:ascii="方正仿宋_GBK" w:eastAsia="方正仿宋_GBK"/>
          <w:b/>
          <w:sz w:val="32"/>
          <w:szCs w:val="32"/>
        </w:rPr>
      </w:pPr>
      <w:r>
        <w:rPr>
          <w:rFonts w:hint="eastAsia" w:ascii="方正仿宋_GBK" w:hAnsi="方正仿宋_GBK" w:eastAsia="方正仿宋_GBK" w:cs="方正仿宋_GBK"/>
          <w:bCs/>
          <w:sz w:val="32"/>
          <w:szCs w:val="32"/>
        </w:rPr>
        <w:t>202</w:t>
      </w:r>
      <w:r>
        <w:rPr>
          <w:rFonts w:hint="eastAsia" w:ascii="方正仿宋_GBK" w:hAnsi="方正仿宋_GBK" w:eastAsia="方正仿宋_GBK" w:cs="方正仿宋_GBK"/>
          <w:bCs/>
          <w:sz w:val="32"/>
          <w:szCs w:val="32"/>
          <w:lang w:val="en-US" w:eastAsia="zh-CN"/>
        </w:rPr>
        <w:t>4</w:t>
      </w:r>
      <w:r>
        <w:rPr>
          <w:rFonts w:hint="eastAsia" w:ascii="方正仿宋_GBK" w:hAnsi="方正仿宋_GBK" w:eastAsia="方正仿宋_GBK" w:cs="方正仿宋_GBK"/>
          <w:bCs/>
          <w:sz w:val="32"/>
          <w:szCs w:val="32"/>
        </w:rPr>
        <w:t>年</w:t>
      </w:r>
      <w:r>
        <w:rPr>
          <w:rFonts w:hint="eastAsia" w:ascii="方正仿宋_GBK" w:hAnsi="方正仿宋_GBK" w:eastAsia="方正仿宋_GBK" w:cs="方正仿宋_GBK"/>
          <w:bCs/>
          <w:sz w:val="32"/>
          <w:szCs w:val="32"/>
          <w:lang w:val="en-US" w:eastAsia="zh-CN"/>
        </w:rPr>
        <w:t>10</w:t>
      </w:r>
      <w:r>
        <w:rPr>
          <w:rFonts w:hint="eastAsia" w:ascii="方正仿宋_GBK" w:hAnsi="方正仿宋_GBK" w:eastAsia="方正仿宋_GBK" w:cs="方正仿宋_GBK"/>
          <w:bCs/>
          <w:sz w:val="32"/>
          <w:szCs w:val="32"/>
        </w:rPr>
        <w:t>月</w:t>
      </w:r>
    </w:p>
    <w:p w14:paraId="61194576">
      <w:pPr>
        <w:jc w:val="center"/>
        <w:rPr>
          <w:rFonts w:ascii="方正仿宋_GBK" w:eastAsia="方正仿宋_GBK"/>
          <w:b/>
          <w:sz w:val="32"/>
          <w:szCs w:val="32"/>
        </w:rPr>
      </w:pPr>
    </w:p>
    <w:p w14:paraId="2F4F6D49">
      <w:pPr>
        <w:jc w:val="center"/>
        <w:rPr>
          <w:rFonts w:ascii="方正仿宋_GBK" w:eastAsia="方正仿宋_GBK"/>
          <w:b/>
          <w:sz w:val="32"/>
          <w:szCs w:val="32"/>
        </w:rPr>
        <w:sectPr>
          <w:headerReference r:id="rId3" w:type="default"/>
          <w:pgSz w:w="11906" w:h="16838"/>
          <w:pgMar w:top="1440" w:right="1803" w:bottom="1440" w:left="1803" w:header="851" w:footer="992" w:gutter="0"/>
          <w:cols w:space="720" w:num="1"/>
          <w:docGrid w:type="lines" w:linePitch="312" w:charSpace="0"/>
        </w:sectPr>
      </w:pPr>
    </w:p>
    <w:p w14:paraId="497863EB">
      <w:pPr>
        <w:jc w:val="center"/>
        <w:rPr>
          <w:rFonts w:ascii="方正仿宋_GBK" w:eastAsia="方正仿宋_GBK"/>
          <w:b/>
          <w:sz w:val="32"/>
          <w:szCs w:val="32"/>
        </w:rPr>
      </w:pPr>
      <w:r>
        <w:rPr>
          <w:rFonts w:hint="eastAsia" w:ascii="方正仿宋_GBK" w:eastAsia="方正仿宋_GBK"/>
          <w:b/>
          <w:sz w:val="32"/>
          <w:szCs w:val="32"/>
        </w:rPr>
        <w:t>廉洁自律书</w:t>
      </w:r>
    </w:p>
    <w:p w14:paraId="3A7421A7">
      <w:pPr>
        <w:spacing w:line="360" w:lineRule="auto"/>
        <w:ind w:firstLine="560" w:firstLineChars="200"/>
        <w:rPr>
          <w:rFonts w:ascii="方正仿宋_GBK" w:hAnsi="宋体" w:eastAsia="方正仿宋_GBK" w:cs="宋体"/>
          <w:sz w:val="28"/>
          <w:szCs w:val="28"/>
        </w:rPr>
      </w:pPr>
      <w:r>
        <w:rPr>
          <w:rFonts w:ascii="方正仿宋_GBK" w:hAnsi="宋体" w:eastAsia="方正仿宋_GBK" w:cs="宋体"/>
          <w:sz w:val="28"/>
          <w:szCs w:val="28"/>
        </w:rPr>
        <w:t>为进一步规范四川振嘉工程招标代理有限公司政府采购行为</w:t>
      </w:r>
      <w:r>
        <w:rPr>
          <w:rFonts w:hint="eastAsia" w:ascii="方正仿宋_GBK" w:hAnsi="宋体" w:eastAsia="方正仿宋_GBK" w:cs="宋体"/>
          <w:sz w:val="28"/>
          <w:szCs w:val="28"/>
        </w:rPr>
        <w:t>，</w:t>
      </w:r>
      <w:r>
        <w:rPr>
          <w:rFonts w:ascii="方正仿宋_GBK" w:hAnsi="宋体" w:eastAsia="方正仿宋_GBK" w:cs="宋体"/>
          <w:sz w:val="28"/>
          <w:szCs w:val="28"/>
        </w:rPr>
        <w:t>维护政府采购制度</w:t>
      </w:r>
      <w:r>
        <w:rPr>
          <w:rFonts w:hint="eastAsia" w:ascii="方正仿宋_GBK" w:hAnsi="宋体" w:eastAsia="方正仿宋_GBK" w:cs="宋体"/>
          <w:sz w:val="28"/>
          <w:szCs w:val="28"/>
        </w:rPr>
        <w:t>，</w:t>
      </w:r>
      <w:r>
        <w:rPr>
          <w:rFonts w:ascii="方正仿宋_GBK" w:hAnsi="宋体" w:eastAsia="方正仿宋_GBK" w:cs="宋体"/>
          <w:sz w:val="28"/>
          <w:szCs w:val="28"/>
        </w:rPr>
        <w:t>净化政府采购市场环境</w:t>
      </w:r>
      <w:r>
        <w:rPr>
          <w:rFonts w:hint="eastAsia" w:ascii="方正仿宋_GBK" w:hAnsi="宋体" w:eastAsia="方正仿宋_GBK" w:cs="宋体"/>
          <w:sz w:val="28"/>
          <w:szCs w:val="28"/>
        </w:rPr>
        <w:t>。</w:t>
      </w:r>
      <w:r>
        <w:rPr>
          <w:rFonts w:ascii="方正仿宋_GBK" w:hAnsi="宋体" w:eastAsia="方正仿宋_GBK" w:cs="宋体"/>
          <w:sz w:val="28"/>
          <w:szCs w:val="28"/>
        </w:rPr>
        <w:t>四川振嘉工程招标代理有限公司在代理政府采购招标事务过程中郑重承诺</w:t>
      </w:r>
      <w:r>
        <w:rPr>
          <w:rFonts w:hint="eastAsia" w:ascii="方正仿宋_GBK" w:hAnsi="宋体" w:eastAsia="方正仿宋_GBK" w:cs="宋体"/>
          <w:sz w:val="28"/>
          <w:szCs w:val="28"/>
        </w:rPr>
        <w:t>：</w:t>
      </w:r>
    </w:p>
    <w:p w14:paraId="0BF63B07">
      <w:pPr>
        <w:spacing w:line="360" w:lineRule="auto"/>
        <w:ind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坚持公开、公平、公正原则，严格按照法律法规和委托代理协议的约定办理政府采购事宜。恪守职业道德、规范代理行为，努力提高专业能力，确保服务质量；诚实守信、勤勉尽责，维护国家利益，社会公共利益和政府采购相关当事人的合法权益。</w:t>
      </w:r>
    </w:p>
    <w:p w14:paraId="36187785">
      <w:pPr>
        <w:spacing w:line="360" w:lineRule="auto"/>
        <w:ind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公司员工遵纪守法，不得以不正当手段争取、承揽政府代理采购事务和向任何单位和个人支付现金、实物或其他利益的行为。</w:t>
      </w:r>
    </w:p>
    <w:p w14:paraId="5F591B39">
      <w:pPr>
        <w:spacing w:line="360" w:lineRule="auto"/>
        <w:ind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公司员工自觉抵制商业贿赂，不得接受供应商的礼金、有价证券和贵重物品，不得在供应商处报销任何应由个人支付的费用，不得以任何形式向供应商索要或收受回扣或变相收受贿赂，不得参加可能对公正执行采购公正有影响的宴请或娱乐活动。</w:t>
      </w:r>
    </w:p>
    <w:p w14:paraId="4BB105BC">
      <w:pPr>
        <w:spacing w:line="360" w:lineRule="auto"/>
        <w:ind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公司员工不得参与供应商存在任何商业上的利害关系，不得在供应商单位兼职或任职，不得泄露政府采购过程中的机密。</w:t>
      </w:r>
    </w:p>
    <w:p w14:paraId="688E7DDA">
      <w:pPr>
        <w:spacing w:line="360" w:lineRule="auto"/>
        <w:ind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公司员工在业务交往中，不得故意刁难供应商，影响正常的业务开展。</w:t>
      </w:r>
    </w:p>
    <w:p w14:paraId="768F08A6">
      <w:pPr>
        <w:spacing w:line="360" w:lineRule="auto"/>
        <w:ind w:firstLine="560" w:firstLineChars="200"/>
        <w:rPr>
          <w:rFonts w:ascii="方正仿宋_GBK" w:hAnsi="宋体" w:eastAsia="方正仿宋_GBK" w:cs="宋体"/>
          <w:sz w:val="28"/>
          <w:szCs w:val="28"/>
        </w:rPr>
      </w:pPr>
      <w:r>
        <w:rPr>
          <w:rFonts w:ascii="方正仿宋_GBK" w:hAnsi="宋体" w:eastAsia="方正仿宋_GBK" w:cs="宋体"/>
          <w:sz w:val="28"/>
          <w:szCs w:val="28"/>
        </w:rPr>
        <w:t>公司全体员工接受来自社会各界的监督</w:t>
      </w:r>
      <w:r>
        <w:rPr>
          <w:rFonts w:hint="eastAsia" w:ascii="方正仿宋_GBK" w:hAnsi="宋体" w:eastAsia="方正仿宋_GBK" w:cs="宋体"/>
          <w:sz w:val="28"/>
          <w:szCs w:val="28"/>
        </w:rPr>
        <w:t>、</w:t>
      </w:r>
      <w:r>
        <w:rPr>
          <w:rFonts w:ascii="方正仿宋_GBK" w:hAnsi="宋体" w:eastAsia="方正仿宋_GBK" w:cs="宋体"/>
          <w:sz w:val="28"/>
          <w:szCs w:val="28"/>
        </w:rPr>
        <w:t>举报</w:t>
      </w:r>
      <w:r>
        <w:rPr>
          <w:rFonts w:hint="eastAsia" w:ascii="方正仿宋_GBK" w:hAnsi="宋体" w:eastAsia="方正仿宋_GBK" w:cs="宋体"/>
          <w:sz w:val="28"/>
          <w:szCs w:val="28"/>
        </w:rPr>
        <w:t>，</w:t>
      </w:r>
      <w:r>
        <w:rPr>
          <w:rFonts w:ascii="方正仿宋_GBK" w:hAnsi="宋体" w:eastAsia="方正仿宋_GBK" w:cs="宋体"/>
          <w:sz w:val="28"/>
          <w:szCs w:val="28"/>
        </w:rPr>
        <w:t>请各位政府采购参与者充分了解自觉践行本准则</w:t>
      </w:r>
      <w:r>
        <w:rPr>
          <w:rFonts w:hint="eastAsia" w:ascii="方正仿宋_GBK" w:hAnsi="宋体" w:eastAsia="方正仿宋_GBK" w:cs="宋体"/>
          <w:sz w:val="28"/>
          <w:szCs w:val="28"/>
        </w:rPr>
        <w:t>，</w:t>
      </w:r>
      <w:r>
        <w:rPr>
          <w:rFonts w:ascii="方正仿宋_GBK" w:hAnsi="宋体" w:eastAsia="方正仿宋_GBK" w:cs="宋体"/>
          <w:sz w:val="28"/>
          <w:szCs w:val="28"/>
        </w:rPr>
        <w:t>共同营造廉洁诚信的政采环境</w:t>
      </w:r>
      <w:r>
        <w:rPr>
          <w:rFonts w:hint="eastAsia" w:ascii="方正仿宋_GBK" w:hAnsi="宋体" w:eastAsia="方正仿宋_GBK" w:cs="宋体"/>
          <w:sz w:val="28"/>
          <w:szCs w:val="28"/>
        </w:rPr>
        <w:t>，</w:t>
      </w:r>
      <w:r>
        <w:rPr>
          <w:rFonts w:ascii="方正仿宋_GBK" w:hAnsi="宋体" w:eastAsia="方正仿宋_GBK" w:cs="宋体"/>
          <w:sz w:val="28"/>
          <w:szCs w:val="28"/>
        </w:rPr>
        <w:t>共同推动阳光透明的政府采购</w:t>
      </w:r>
      <w:r>
        <w:rPr>
          <w:rFonts w:hint="eastAsia" w:ascii="方正仿宋_GBK" w:hAnsi="宋体" w:eastAsia="方正仿宋_GBK" w:cs="宋体"/>
          <w:sz w:val="28"/>
          <w:szCs w:val="28"/>
        </w:rPr>
        <w:t>。</w:t>
      </w:r>
    </w:p>
    <w:p w14:paraId="018E4E1C">
      <w:pPr>
        <w:spacing w:line="360" w:lineRule="auto"/>
        <w:ind w:firstLine="560" w:firstLineChars="200"/>
        <w:sectPr>
          <w:footerReference r:id="rId4" w:type="default"/>
          <w:pgSz w:w="11906" w:h="16838"/>
          <w:pgMar w:top="1440" w:right="1803" w:bottom="1440" w:left="1803" w:header="851" w:footer="992" w:gutter="0"/>
          <w:pgNumType w:start="1"/>
          <w:cols w:space="720" w:num="1"/>
          <w:docGrid w:type="lines" w:linePitch="312" w:charSpace="0"/>
        </w:sectPr>
      </w:pPr>
      <w:r>
        <w:rPr>
          <w:rFonts w:hint="eastAsia" w:ascii="方正仿宋_GBK" w:hAnsi="宋体" w:eastAsia="方正仿宋_GBK" w:cs="宋体"/>
          <w:sz w:val="28"/>
          <w:szCs w:val="28"/>
        </w:rPr>
        <w:t>举报电话：0827-8668888 举报邮箱：3480200800@qq.com</w:t>
      </w:r>
    </w:p>
    <w:p w14:paraId="6B4A3A18">
      <w:pPr>
        <w:jc w:val="center"/>
        <w:rPr>
          <w:rFonts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目录</w:t>
      </w:r>
    </w:p>
    <w:p w14:paraId="27022B7D">
      <w:pPr>
        <w:pStyle w:val="22"/>
        <w:tabs>
          <w:tab w:val="right" w:leader="dot" w:pos="8306"/>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TOC \o "1-1" \h \u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_Toc32342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一、采购项目基本情况</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_Toc32342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14:paraId="3AB67D11">
      <w:pPr>
        <w:pStyle w:val="22"/>
        <w:tabs>
          <w:tab w:val="right" w:leader="dot" w:pos="8306"/>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_Toc13495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二、资金情况</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_Toc13495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4</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14:paraId="6EFCBC0E">
      <w:pPr>
        <w:pStyle w:val="22"/>
        <w:tabs>
          <w:tab w:val="right" w:leader="dot" w:pos="8306"/>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_Toc24855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三、采购需求</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_Toc24855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4</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14:paraId="4D019937">
      <w:pPr>
        <w:pStyle w:val="22"/>
        <w:tabs>
          <w:tab w:val="right" w:leader="dot" w:pos="8306"/>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_Toc6686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eastAsia="zh-CN"/>
        </w:rPr>
        <w:t>四</w:t>
      </w:r>
      <w:r>
        <w:rPr>
          <w:rFonts w:hint="eastAsia" w:ascii="方正仿宋_GBK" w:hAnsi="方正仿宋_GBK" w:eastAsia="方正仿宋_GBK" w:cs="方正仿宋_GBK"/>
          <w:sz w:val="28"/>
          <w:szCs w:val="28"/>
        </w:rPr>
        <w:t>、响应文件要求</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_Toc6686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14:paraId="45260967">
      <w:pPr>
        <w:pStyle w:val="22"/>
        <w:tabs>
          <w:tab w:val="right" w:leader="dot" w:pos="8306"/>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_Toc28295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eastAsia="zh-CN"/>
        </w:rPr>
        <w:t>五</w:t>
      </w:r>
      <w:r>
        <w:rPr>
          <w:rFonts w:hint="eastAsia" w:ascii="方正仿宋_GBK" w:hAnsi="方正仿宋_GBK" w:eastAsia="方正仿宋_GBK" w:cs="方正仿宋_GBK"/>
          <w:sz w:val="28"/>
          <w:szCs w:val="28"/>
        </w:rPr>
        <w:t>、响应文件格式</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_Toc28295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14:paraId="65D4F4B7">
      <w:pPr>
        <w:pStyle w:val="22"/>
        <w:tabs>
          <w:tab w:val="right" w:leader="dot" w:pos="8306"/>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_Toc1280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六、确定成交供应商的原则</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_Toc1280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28</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14:paraId="2A052E3B">
      <w:pPr>
        <w:pStyle w:val="22"/>
        <w:tabs>
          <w:tab w:val="right" w:leader="dot" w:pos="8306"/>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_Toc4073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bCs/>
          <w:kern w:val="2"/>
          <w:sz w:val="28"/>
          <w:szCs w:val="28"/>
        </w:rPr>
        <w:t>七、磋商程序</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_Toc4073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28</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14:paraId="69925923">
      <w:pPr>
        <w:pStyle w:val="22"/>
        <w:tabs>
          <w:tab w:val="right" w:leader="dot" w:pos="8306"/>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_Toc10206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bCs/>
          <w:kern w:val="2"/>
          <w:sz w:val="28"/>
          <w:szCs w:val="28"/>
        </w:rPr>
        <w:t>八、综合评分</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_Toc10206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35</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14:paraId="4CCD5168">
      <w:pPr>
        <w:pStyle w:val="22"/>
        <w:tabs>
          <w:tab w:val="right" w:leader="dot" w:pos="8306"/>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_Toc2781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九、文件获取方式、时间、地点</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_Toc2781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40</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14:paraId="704F918F">
      <w:pPr>
        <w:pStyle w:val="22"/>
        <w:tabs>
          <w:tab w:val="right" w:leader="dot" w:pos="8306"/>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_Toc8821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十、递交响应文件截止时间</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_Toc8821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42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14:paraId="654C11BC">
      <w:pPr>
        <w:pStyle w:val="22"/>
        <w:tabs>
          <w:tab w:val="right" w:leader="dot" w:pos="8306"/>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_Toc5730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十一、递交响应文件地点</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_Toc5730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42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14:paraId="4DF4B032">
      <w:pPr>
        <w:pStyle w:val="22"/>
        <w:tabs>
          <w:tab w:val="right" w:leader="dot" w:pos="8306"/>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_Toc21810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十二、代理服务</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_Toc21810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42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14:paraId="49C11C90">
      <w:pPr>
        <w:pStyle w:val="22"/>
        <w:tabs>
          <w:tab w:val="right" w:leader="dot" w:pos="8306"/>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_Toc10475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十三、联系方式</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_Toc10475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42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14:paraId="70E60320">
      <w:pPr>
        <w:pStyle w:val="22"/>
        <w:tabs>
          <w:tab w:val="right" w:leader="dot" w:pos="8306"/>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_Toc7538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十四、询问、质疑</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_Toc7538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42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14:paraId="0A221926">
      <w:pPr>
        <w:pStyle w:val="22"/>
        <w:tabs>
          <w:tab w:val="right" w:leader="dot" w:pos="8306"/>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_Toc20537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十五、竞争性磋商保证金及履约保证金</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_Toc20537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43</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14:paraId="2315291D">
      <w:pPr>
        <w:pStyle w:val="22"/>
        <w:tabs>
          <w:tab w:val="right" w:leader="dot" w:pos="8306"/>
        </w:tabs>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_Toc10366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eastAsia="zh-CN"/>
        </w:rPr>
        <w:t>十六、</w:t>
      </w:r>
      <w:r>
        <w:rPr>
          <w:rFonts w:hint="eastAsia" w:ascii="方正仿宋_GBK" w:hAnsi="方正仿宋_GBK" w:eastAsia="方正仿宋_GBK" w:cs="方正仿宋_GBK"/>
          <w:sz w:val="28"/>
          <w:szCs w:val="28"/>
        </w:rPr>
        <w:t>合同草案</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_Toc10366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43</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14:paraId="0C9E0846">
      <w:pPr>
        <w:spacing w:line="520" w:lineRule="exact"/>
      </w:pPr>
      <w:r>
        <w:rPr>
          <w:rFonts w:hint="eastAsia" w:ascii="方正仿宋_GBK" w:hAnsi="方正仿宋_GBK" w:eastAsia="方正仿宋_GBK" w:cs="方正仿宋_GBK"/>
          <w:szCs w:val="28"/>
        </w:rPr>
        <w:fldChar w:fldCharType="end"/>
      </w:r>
      <w:r>
        <w:rPr>
          <w:rFonts w:hint="eastAsia" w:ascii="方正仿宋_GBK" w:hAnsi="方正仿宋_GBK" w:eastAsia="方正仿宋_GBK" w:cs="方正仿宋_GBK"/>
          <w:sz w:val="28"/>
          <w:szCs w:val="28"/>
          <w:u w:val="single"/>
        </w:rPr>
        <w:br w:type="page"/>
      </w:r>
    </w:p>
    <w:p w14:paraId="635EDAAF">
      <w:pPr>
        <w:ind w:firstLine="700" w:firstLineChars="25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lang w:eastAsia="zh-CN"/>
        </w:rPr>
        <w:t>巴中市文化广播电视体育和旅游局</w:t>
      </w:r>
      <w:r>
        <w:rPr>
          <w:rFonts w:hint="eastAsia" w:ascii="方正仿宋_GBK" w:hAnsi="方正仿宋_GBK" w:eastAsia="方正仿宋_GBK" w:cs="方正仿宋_GBK"/>
          <w:sz w:val="28"/>
          <w:szCs w:val="28"/>
        </w:rPr>
        <w:t>拟对</w:t>
      </w:r>
      <w:r>
        <w:rPr>
          <w:rFonts w:hint="eastAsia" w:ascii="方正仿宋_GBK" w:hAnsi="方正仿宋_GBK" w:eastAsia="方正仿宋_GBK" w:cs="方正仿宋_GBK"/>
          <w:sz w:val="28"/>
          <w:szCs w:val="28"/>
          <w:u w:val="single"/>
          <w:lang w:eastAsia="zh-CN"/>
        </w:rPr>
        <w:t>市体育馆、游泳馆采购消防维保服务</w:t>
      </w:r>
      <w:r>
        <w:rPr>
          <w:rFonts w:hint="eastAsia" w:ascii="方正仿宋_GBK" w:hAnsi="方正仿宋_GBK" w:eastAsia="方正仿宋_GBK" w:cs="方正仿宋_GBK"/>
          <w:sz w:val="28"/>
          <w:szCs w:val="28"/>
        </w:rPr>
        <w:t>采用</w:t>
      </w:r>
      <w:r>
        <w:rPr>
          <w:rFonts w:hint="eastAsia" w:ascii="方正仿宋_GBK" w:hAnsi="方正仿宋_GBK" w:eastAsia="方正仿宋_GBK" w:cs="方正仿宋_GBK"/>
          <w:sz w:val="28"/>
          <w:szCs w:val="28"/>
          <w:u w:val="single"/>
        </w:rPr>
        <w:t>竞争性磋商</w:t>
      </w:r>
      <w:r>
        <w:rPr>
          <w:rFonts w:hint="eastAsia" w:ascii="方正仿宋_GBK" w:hAnsi="方正仿宋_GBK" w:eastAsia="方正仿宋_GBK" w:cs="方正仿宋_GBK"/>
          <w:sz w:val="28"/>
          <w:szCs w:val="28"/>
        </w:rPr>
        <w:t>方式进行采购，特邀请符合本次采购要求的供应商参加报价。</w:t>
      </w:r>
    </w:p>
    <w:p w14:paraId="3F28A4FF">
      <w:pPr>
        <w:pStyle w:val="3"/>
        <w:rPr>
          <w:rFonts w:ascii="方正仿宋_GBK" w:hAnsi="方正仿宋_GBK"/>
          <w:sz w:val="28"/>
          <w:szCs w:val="28"/>
        </w:rPr>
      </w:pPr>
      <w:bookmarkStart w:id="0" w:name="_Toc32342"/>
      <w:bookmarkStart w:id="1" w:name="_Toc24469"/>
      <w:bookmarkStart w:id="2" w:name="_Toc8806"/>
      <w:r>
        <w:rPr>
          <w:rFonts w:hint="eastAsia" w:ascii="方正仿宋_GBK" w:hAnsi="方正仿宋_GBK"/>
          <w:sz w:val="28"/>
          <w:szCs w:val="28"/>
        </w:rPr>
        <w:t>一、采购项目基本情况</w:t>
      </w:r>
      <w:bookmarkEnd w:id="0"/>
      <w:bookmarkEnd w:id="1"/>
      <w:bookmarkEnd w:id="2"/>
    </w:p>
    <w:p w14:paraId="671D1357">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1、项目编号：</w:t>
      </w:r>
      <w:r>
        <w:rPr>
          <w:rFonts w:hint="eastAsia" w:ascii="方正仿宋_GBK" w:hAnsi="方正仿宋_GBK" w:eastAsia="方正仿宋_GBK" w:cs="方正仿宋_GBK"/>
          <w:sz w:val="28"/>
          <w:szCs w:val="28"/>
          <w:lang w:eastAsia="zh-CN"/>
        </w:rPr>
        <w:t>SCZJDL〔2024〕52号</w:t>
      </w:r>
      <w:r>
        <w:rPr>
          <w:rFonts w:hint="eastAsia" w:ascii="方正仿宋_GBK" w:hAnsi="方正仿宋_GBK" w:eastAsia="方正仿宋_GBK" w:cs="方正仿宋_GBK"/>
          <w:sz w:val="28"/>
          <w:szCs w:val="28"/>
        </w:rPr>
        <w:t>；</w:t>
      </w:r>
    </w:p>
    <w:p w14:paraId="1DB592FE">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2、项目名称：</w:t>
      </w:r>
      <w:r>
        <w:rPr>
          <w:rFonts w:hint="eastAsia" w:ascii="方正仿宋_GBK" w:hAnsi="方正仿宋_GBK" w:eastAsia="方正仿宋_GBK" w:cs="方正仿宋_GBK"/>
          <w:sz w:val="28"/>
          <w:szCs w:val="28"/>
          <w:lang w:eastAsia="zh-CN"/>
        </w:rPr>
        <w:t>市体育馆、游泳馆采购消防维保服务</w:t>
      </w:r>
      <w:r>
        <w:rPr>
          <w:rFonts w:hint="eastAsia" w:ascii="方正仿宋_GBK" w:hAnsi="方正仿宋_GBK" w:eastAsia="方正仿宋_GBK" w:cs="方正仿宋_GBK"/>
          <w:sz w:val="28"/>
          <w:szCs w:val="28"/>
        </w:rPr>
        <w:t>；</w:t>
      </w:r>
    </w:p>
    <w:p w14:paraId="2361CC1D">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highlight w:val="none"/>
        </w:rPr>
        <w:t>本项目是否专门面向中小企业：</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是</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sym w:font="Wingdings" w:char="00FE"/>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否</w:t>
      </w:r>
      <w:r>
        <w:rPr>
          <w:rFonts w:hint="eastAsia" w:ascii="方正仿宋_GBK" w:hAnsi="方正仿宋_GBK" w:eastAsia="方正仿宋_GBK" w:cs="方正仿宋_GBK"/>
          <w:color w:val="000000" w:themeColor="text1"/>
          <w:sz w:val="28"/>
          <w:szCs w:val="28"/>
          <w14:textFill>
            <w14:solidFill>
              <w14:schemeClr w14:val="tx1"/>
            </w14:solidFill>
          </w14:textFill>
        </w:rPr>
        <w:sym w:font="Wingdings" w:char="00A8"/>
      </w:r>
      <w:r>
        <w:rPr>
          <w:rFonts w:hint="eastAsia" w:ascii="方正仿宋_GBK" w:hAnsi="方正仿宋_GBK" w:eastAsia="方正仿宋_GBK" w:cs="方正仿宋_GBK"/>
          <w:color w:val="000000" w:themeColor="text1"/>
          <w:sz w:val="28"/>
          <w:szCs w:val="28"/>
          <w14:textFill>
            <w14:solidFill>
              <w14:schemeClr w14:val="tx1"/>
            </w14:solidFill>
          </w14:textFill>
        </w:rPr>
        <w:t>；</w:t>
      </w:r>
    </w:p>
    <w:p w14:paraId="75941BE3">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4、采购人：</w:t>
      </w:r>
      <w:r>
        <w:rPr>
          <w:rFonts w:hint="eastAsia" w:ascii="方正仿宋_GBK" w:hAnsi="方正仿宋_GBK" w:eastAsia="方正仿宋_GBK" w:cs="方正仿宋_GBK"/>
          <w:sz w:val="28"/>
          <w:szCs w:val="28"/>
          <w:lang w:eastAsia="zh-CN"/>
        </w:rPr>
        <w:t>巴中市文化广播电视体育和旅游局</w:t>
      </w:r>
      <w:r>
        <w:rPr>
          <w:rFonts w:hint="eastAsia" w:ascii="方正仿宋_GBK" w:hAnsi="方正仿宋_GBK" w:eastAsia="方正仿宋_GBK" w:cs="方正仿宋_GBK"/>
          <w:sz w:val="28"/>
          <w:szCs w:val="28"/>
        </w:rPr>
        <w:t>；</w:t>
      </w:r>
    </w:p>
    <w:p w14:paraId="0A4A7D6C">
      <w:pPr>
        <w:pStyle w:val="7"/>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5、采购代理机构：四川振嘉工程招标代理有限公司。</w:t>
      </w:r>
    </w:p>
    <w:p w14:paraId="021941DA">
      <w:pPr>
        <w:ind w:firstLine="560"/>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color w:val="000000" w:themeColor="text1"/>
          <w:sz w:val="28"/>
          <w:szCs w:val="28"/>
          <w14:textFill>
            <w14:solidFill>
              <w14:schemeClr w14:val="tx1"/>
            </w14:solidFill>
          </w14:textFill>
        </w:rPr>
        <w:t>供应商邀请方式：本次</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磋商</w:t>
      </w:r>
      <w:r>
        <w:rPr>
          <w:rFonts w:hint="eastAsia" w:ascii="方正仿宋_GBK" w:hAnsi="方正仿宋_GBK" w:eastAsia="方正仿宋_GBK" w:cs="方正仿宋_GBK"/>
          <w:color w:val="000000" w:themeColor="text1"/>
          <w:sz w:val="28"/>
          <w:szCs w:val="28"/>
          <w14:textFill>
            <w14:solidFill>
              <w14:schemeClr w14:val="tx1"/>
            </w14:solidFill>
          </w14:textFill>
        </w:rPr>
        <w:t>邀请在四川振嘉工程招标代理有限公司网站（http://www.scszjdl.cn/）上以公告的形式发布</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w:t>
      </w:r>
    </w:p>
    <w:p w14:paraId="5DB63FD5">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方正仿宋_GBK" w:hAnsi="方正仿宋_GBK" w:eastAsia="方正仿宋_GBK" w:cs="方正仿宋_GBK"/>
          <w:sz w:val="28"/>
          <w:szCs w:val="28"/>
          <w:lang w:val="en-US" w:eastAsia="zh-CN"/>
        </w:rPr>
      </w:pPr>
      <w:r>
        <w:rPr>
          <w:rFonts w:hint="eastAsia" w:cs="方正仿宋_GBK"/>
          <w:b w:val="0"/>
          <w:bCs w:val="0"/>
          <w:color w:val="000000" w:themeColor="text1"/>
          <w:sz w:val="28"/>
          <w:szCs w:val="28"/>
          <w:lang w:val="en-US" w:eastAsia="zh-CN"/>
          <w14:textFill>
            <w14:solidFill>
              <w14:schemeClr w14:val="tx1"/>
            </w14:solidFill>
          </w14:textFill>
        </w:rPr>
        <w:t>7、</w:t>
      </w: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供应商应不属于禁止参加本次采购活动的供应商 根据《关于在政府采购活动中查询及使用信用记录有关问题的通知》（财库 〔2016〕125 号）的要求，采购人/采购代理机构将通过“信用中国”网站 （www.creditchina.gov.cn）、“中国政府采购网”网站（www.ccgp.gov.cn）等 渠道查询供应商在递交响应文件截止之日前的信用记录并保存信用记录结果网 页截图，拒绝列入失信被执行人名单、重大税收违法案件当事人名单、政府采购 严重违法失信行为记录名单中的供应商参加本项目的采购活动。</w:t>
      </w:r>
    </w:p>
    <w:p w14:paraId="4C1F42EB">
      <w:pPr>
        <w:pStyle w:val="3"/>
        <w:rPr>
          <w:rFonts w:ascii="方正仿宋_GBK" w:hAnsi="方正仿宋_GBK"/>
          <w:sz w:val="28"/>
          <w:szCs w:val="28"/>
        </w:rPr>
      </w:pPr>
      <w:bookmarkStart w:id="3" w:name="_Toc13495"/>
      <w:bookmarkStart w:id="4" w:name="_Toc11689"/>
      <w:bookmarkStart w:id="5" w:name="_Toc9111"/>
      <w:r>
        <w:rPr>
          <w:rFonts w:hint="eastAsia" w:ascii="方正仿宋_GBK" w:hAnsi="方正仿宋_GBK"/>
          <w:sz w:val="28"/>
          <w:szCs w:val="28"/>
        </w:rPr>
        <w:t>二、资金情况</w:t>
      </w:r>
      <w:bookmarkEnd w:id="3"/>
      <w:bookmarkEnd w:id="4"/>
      <w:bookmarkEnd w:id="5"/>
    </w:p>
    <w:p w14:paraId="074E8018">
      <w:pPr>
        <w:ind w:right="31" w:rightChars="15"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rPr>
        <w:t>资金来源及控制金额：</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市属公共体育场馆运行维护劳务服务费用</w:t>
      </w:r>
      <w:r>
        <w:rPr>
          <w:rFonts w:hint="eastAsia" w:ascii="方正仿宋_GBK" w:hAnsi="方正仿宋_GBK" w:eastAsia="方正仿宋_GBK" w:cs="方正仿宋_GBK"/>
          <w:color w:val="000000" w:themeColor="text1"/>
          <w:sz w:val="28"/>
          <w:szCs w:val="28"/>
          <w:highlight w:val="none"/>
          <w:lang w:val="en" w:eastAsia="en"/>
          <w14:textFill>
            <w14:solidFill>
              <w14:schemeClr w14:val="tx1"/>
            </w14:solidFill>
          </w14:textFill>
        </w:rPr>
        <w:t>。</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每年服务费11.8万元，2年共计23.6万元（最高限价）</w:t>
      </w:r>
      <w:r>
        <w:rPr>
          <w:rFonts w:hint="eastAsia" w:ascii="方正仿宋_GBK" w:hAnsi="方正仿宋_GBK" w:eastAsia="方正仿宋_GBK" w:cs="方正仿宋_GBK"/>
          <w:sz w:val="28"/>
          <w:szCs w:val="28"/>
          <w:highlight w:val="none"/>
        </w:rPr>
        <w:t>。</w:t>
      </w:r>
    </w:p>
    <w:p w14:paraId="615FE615">
      <w:pPr>
        <w:pStyle w:val="3"/>
        <w:rPr>
          <w:rFonts w:ascii="方正仿宋_GBK" w:hAnsi="方正仿宋_GBK"/>
          <w:sz w:val="28"/>
          <w:szCs w:val="28"/>
        </w:rPr>
      </w:pPr>
      <w:bookmarkStart w:id="6" w:name="_Toc16580"/>
      <w:bookmarkStart w:id="7" w:name="_Toc24855"/>
      <w:bookmarkStart w:id="8" w:name="_Toc23227"/>
      <w:r>
        <w:rPr>
          <w:rFonts w:hint="eastAsia" w:ascii="方正仿宋_GBK" w:hAnsi="方正仿宋_GBK"/>
          <w:sz w:val="28"/>
          <w:szCs w:val="28"/>
        </w:rPr>
        <w:t>三、采购需求</w:t>
      </w:r>
      <w:bookmarkEnd w:id="6"/>
      <w:bookmarkEnd w:id="7"/>
      <w:bookmarkEnd w:id="8"/>
    </w:p>
    <w:p w14:paraId="2FFA3B0F">
      <w:pPr>
        <w:outlineLvl w:val="1"/>
        <w:rPr>
          <w:rFonts w:hint="eastAsia" w:ascii="方正仿宋_GBK" w:hAnsi="方正仿宋_GBK" w:eastAsia="方正仿宋_GBK" w:cs="方正仿宋_GBK"/>
          <w:b/>
          <w:bCs/>
          <w:sz w:val="28"/>
          <w:szCs w:val="28"/>
          <w:lang w:val="en-US" w:eastAsia="zh-CN"/>
        </w:rPr>
      </w:pPr>
      <w:bookmarkStart w:id="9" w:name="_Toc5145"/>
      <w:r>
        <w:rPr>
          <w:rFonts w:hint="eastAsia" w:ascii="方正仿宋_GBK" w:hAnsi="方正仿宋_GBK" w:eastAsia="方正仿宋_GBK" w:cs="方正仿宋_GBK"/>
          <w:b/>
          <w:bCs/>
          <w:sz w:val="28"/>
          <w:szCs w:val="28"/>
        </w:rPr>
        <w:t>（一）</w:t>
      </w:r>
      <w:bookmarkEnd w:id="9"/>
      <w:r>
        <w:rPr>
          <w:rFonts w:hint="eastAsia" w:ascii="方正仿宋_GBK" w:hAnsi="方正仿宋_GBK" w:eastAsia="方正仿宋_GBK" w:cs="方正仿宋_GBK"/>
          <w:b/>
          <w:bCs/>
          <w:sz w:val="28"/>
          <w:szCs w:val="28"/>
          <w:lang w:eastAsia="zh-CN"/>
        </w:rPr>
        <w:t>项目背景</w:t>
      </w:r>
    </w:p>
    <w:p w14:paraId="1877A76A">
      <w:pPr>
        <w:ind w:firstLine="478"/>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对</w:t>
      </w:r>
      <w:r>
        <w:rPr>
          <w:rFonts w:hint="default" w:ascii="方正仿宋_GBK" w:hAnsi="方正仿宋_GBK" w:eastAsia="方正仿宋_GBK" w:cs="方正仿宋_GBK"/>
          <w:color w:val="000000" w:themeColor="text1"/>
          <w:sz w:val="28"/>
          <w:szCs w:val="28"/>
          <w:lang w:val="en-US" w:eastAsia="zh-CN"/>
          <w14:textFill>
            <w14:solidFill>
              <w14:schemeClr w14:val="tx1"/>
            </w14:solidFill>
          </w14:textFill>
        </w:rPr>
        <w:t>“两馆”</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建筑</w:t>
      </w:r>
      <w:r>
        <w:rPr>
          <w:rFonts w:hint="eastAsia" w:ascii="方正仿宋_GBK" w:hAnsi="方正仿宋_GBK" w:eastAsia="方正仿宋_GBK" w:cs="方正仿宋_GBK"/>
          <w:color w:val="000000" w:themeColor="text1"/>
          <w:sz w:val="28"/>
          <w:szCs w:val="28"/>
          <w14:textFill>
            <w14:solidFill>
              <w14:schemeClr w14:val="tx1"/>
            </w14:solidFill>
          </w14:textFill>
        </w:rPr>
        <w:t>消防供配电设施、火灾自动报警系统、电气火灾监控系统、消防给水及消防栓系统、自动喷水灭火系统、气体灭火系统、防烟系统、排烟系统、应急照明和疏散指示标志、消防专用电话、应急广播系统、防火分隔设施、灭火器材等其他消防设施安排专人巡查，定期维护，确保</w:t>
      </w:r>
      <w:r>
        <w:rPr>
          <w:rFonts w:hint="default" w:ascii="方正仿宋_GBK" w:hAnsi="方正仿宋_GBK" w:eastAsia="方正仿宋_GBK" w:cs="方正仿宋_GBK"/>
          <w:color w:val="000000" w:themeColor="text1"/>
          <w:sz w:val="28"/>
          <w:szCs w:val="28"/>
          <w:lang w:val="en-US" w:eastAsia="zh-CN"/>
          <w14:textFill>
            <w14:solidFill>
              <w14:schemeClr w14:val="tx1"/>
            </w14:solidFill>
          </w14:textFill>
        </w:rPr>
        <w:t>“两馆”</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消防设施正常运行。</w:t>
      </w:r>
    </w:p>
    <w:p w14:paraId="0576075A">
      <w:pPr>
        <w:numPr>
          <w:ilvl w:val="0"/>
          <w:numId w:val="2"/>
        </w:numPr>
        <w:outlineLvl w:val="1"/>
        <w:rPr>
          <w:rFonts w:hint="eastAsia" w:ascii="方正仿宋_GBK" w:hAnsi="方正仿宋_GBK" w:eastAsia="方正仿宋_GBK" w:cs="方正仿宋_GBK"/>
          <w:b/>
          <w:bCs/>
          <w:sz w:val="28"/>
          <w:szCs w:val="28"/>
          <w:lang w:eastAsia="zh-CN"/>
        </w:rPr>
      </w:pPr>
      <w:r>
        <w:rPr>
          <w:rFonts w:hint="eastAsia" w:ascii="方正仿宋_GBK" w:hAnsi="方正仿宋_GBK" w:eastAsia="方正仿宋_GBK" w:cs="方正仿宋_GBK"/>
          <w:b/>
          <w:bCs/>
          <w:sz w:val="28"/>
          <w:szCs w:val="28"/>
          <w:lang w:eastAsia="zh-CN"/>
        </w:rPr>
        <w:t>技术服务要求</w:t>
      </w:r>
    </w:p>
    <w:p w14:paraId="75AD0C64">
      <w:pPr>
        <w:keepNext w:val="0"/>
        <w:keepLines w:val="0"/>
        <w:widowControl/>
        <w:suppressLineNumbers w:val="0"/>
        <w:shd w:val="clear" w:fill="FAFAFA"/>
        <w:ind w:left="0" w:firstLine="540" w:firstLineChars="200"/>
        <w:jc w:val="left"/>
        <w:rPr>
          <w:rFonts w:hint="eastAsia" w:ascii="宋体" w:hAnsi="宋体" w:eastAsia="宋体" w:cs="宋体"/>
          <w:i w:val="0"/>
          <w:iCs w:val="0"/>
          <w:caps w:val="0"/>
          <w:color w:val="000000"/>
          <w:spacing w:val="0"/>
          <w:sz w:val="14"/>
          <w:szCs w:val="14"/>
        </w:rPr>
      </w:pPr>
      <w:bookmarkStart w:id="10" w:name="_Toc8373"/>
      <w:r>
        <w:rPr>
          <w:rFonts w:hint="eastAsia" w:ascii="宋体" w:hAnsi="宋体" w:eastAsia="宋体" w:cs="宋体"/>
          <w:i w:val="0"/>
          <w:iCs w:val="0"/>
          <w:caps w:val="0"/>
          <w:color w:val="000000"/>
          <w:spacing w:val="0"/>
          <w:kern w:val="0"/>
          <w:sz w:val="27"/>
          <w:szCs w:val="27"/>
          <w:shd w:val="clear" w:fill="FAFAFA"/>
          <w:lang w:val="en-US" w:eastAsia="zh-CN" w:bidi="ar"/>
        </w:rPr>
        <w:t>1.乙方每个星期安排一次，对消防报警系统进行全面巡检、维护一次。</w:t>
      </w:r>
    </w:p>
    <w:p w14:paraId="4152440A">
      <w:pPr>
        <w:keepNext w:val="0"/>
        <w:keepLines w:val="0"/>
        <w:widowControl/>
        <w:suppressLineNumbers w:val="0"/>
        <w:shd w:val="clear" w:fill="FAFAFA"/>
        <w:ind w:left="0" w:firstLine="540" w:firstLineChars="200"/>
        <w:jc w:val="left"/>
        <w:rPr>
          <w:rFonts w:hint="eastAsia" w:ascii="宋体" w:hAnsi="宋体" w:eastAsia="宋体" w:cs="宋体"/>
          <w:i w:val="0"/>
          <w:iCs w:val="0"/>
          <w:caps w:val="0"/>
          <w:color w:val="000000"/>
          <w:spacing w:val="0"/>
          <w:sz w:val="14"/>
          <w:szCs w:val="14"/>
        </w:rPr>
      </w:pPr>
      <w:r>
        <w:rPr>
          <w:rFonts w:hint="eastAsia" w:ascii="宋体" w:hAnsi="宋体" w:eastAsia="宋体" w:cs="宋体"/>
          <w:i w:val="0"/>
          <w:iCs w:val="0"/>
          <w:caps w:val="0"/>
          <w:color w:val="000000"/>
          <w:spacing w:val="0"/>
          <w:kern w:val="0"/>
          <w:sz w:val="27"/>
          <w:szCs w:val="27"/>
          <w:shd w:val="clear" w:fill="FAFAFA"/>
          <w:lang w:val="en-US" w:eastAsia="zh-CN" w:bidi="ar"/>
        </w:rPr>
        <w:t>2.故障应急维修要求：全年24小时电话支持，响应次数不限。当维保服务公司接到采购人设备故障通知后，应在30分钟内安排技术人员赴现场提供支持服务。一般故障应立即排除，严重故障24小时内修复，当超过1天尚无法修复时，应做好维修期间的应急措施，同时增加技术力量，尽快修复。</w:t>
      </w:r>
    </w:p>
    <w:p w14:paraId="70FFAB65">
      <w:pPr>
        <w:keepNext w:val="0"/>
        <w:keepLines w:val="0"/>
        <w:widowControl/>
        <w:suppressLineNumbers w:val="0"/>
        <w:shd w:val="clear" w:fill="FAFAFA"/>
        <w:ind w:left="0" w:firstLine="540" w:firstLineChars="200"/>
        <w:jc w:val="left"/>
        <w:rPr>
          <w:rFonts w:hint="eastAsia" w:ascii="宋体" w:hAnsi="宋体" w:eastAsia="宋体" w:cs="宋体"/>
          <w:i w:val="0"/>
          <w:iCs w:val="0"/>
          <w:caps w:val="0"/>
          <w:color w:val="000000"/>
          <w:spacing w:val="0"/>
          <w:sz w:val="14"/>
          <w:szCs w:val="14"/>
        </w:rPr>
      </w:pPr>
      <w:r>
        <w:rPr>
          <w:rFonts w:hint="eastAsia" w:ascii="宋体" w:hAnsi="宋体" w:eastAsia="宋体" w:cs="宋体"/>
          <w:i w:val="0"/>
          <w:iCs w:val="0"/>
          <w:caps w:val="0"/>
          <w:color w:val="000000"/>
          <w:spacing w:val="0"/>
          <w:kern w:val="0"/>
          <w:sz w:val="27"/>
          <w:szCs w:val="27"/>
          <w:shd w:val="clear" w:fill="FAFAFA"/>
          <w:lang w:val="en-US" w:eastAsia="zh-CN" w:bidi="ar"/>
        </w:rPr>
        <w:t>3.临时检查：在重大活动、重大假日前或应急消防机构进行例行检查时，成交供应商应配合采购人的消防系统进行全面检查、维修，确保消防系统正常运行并做好记录。</w:t>
      </w:r>
    </w:p>
    <w:p w14:paraId="7B72E4CB">
      <w:pPr>
        <w:keepNext w:val="0"/>
        <w:keepLines w:val="0"/>
        <w:widowControl/>
        <w:suppressLineNumbers w:val="0"/>
        <w:shd w:val="clear" w:fill="FAFAFA"/>
        <w:ind w:left="0" w:firstLine="540" w:firstLineChars="200"/>
        <w:jc w:val="left"/>
        <w:rPr>
          <w:rFonts w:hint="eastAsia" w:ascii="宋体" w:hAnsi="宋体" w:eastAsia="宋体" w:cs="宋体"/>
          <w:i w:val="0"/>
          <w:iCs w:val="0"/>
          <w:caps w:val="0"/>
          <w:color w:val="000000"/>
          <w:spacing w:val="0"/>
          <w:sz w:val="14"/>
          <w:szCs w:val="14"/>
        </w:rPr>
      </w:pPr>
      <w:r>
        <w:rPr>
          <w:rFonts w:hint="eastAsia" w:ascii="宋体" w:hAnsi="宋体" w:eastAsia="宋体" w:cs="宋体"/>
          <w:i w:val="0"/>
          <w:iCs w:val="0"/>
          <w:caps w:val="0"/>
          <w:color w:val="000000"/>
          <w:spacing w:val="0"/>
          <w:kern w:val="0"/>
          <w:sz w:val="27"/>
          <w:szCs w:val="27"/>
          <w:shd w:val="clear" w:fill="FAFAFA"/>
          <w:lang w:val="en-US" w:eastAsia="zh-CN" w:bidi="ar"/>
        </w:rPr>
        <w:t>4.烟温感探头按照国家规范“烟温感探头投入使用一年后应每隔两年清洗一次”的要求,乙方每年对甲方烟温感探头清洗一次,清洗费用由乙方负责。</w:t>
      </w:r>
    </w:p>
    <w:p w14:paraId="70F04222">
      <w:pPr>
        <w:keepNext w:val="0"/>
        <w:keepLines w:val="0"/>
        <w:widowControl/>
        <w:suppressLineNumbers w:val="0"/>
        <w:shd w:val="clear" w:fill="FAFAFA"/>
        <w:ind w:left="0" w:firstLine="540" w:firstLineChars="200"/>
        <w:jc w:val="left"/>
        <w:rPr>
          <w:rFonts w:hint="eastAsia" w:ascii="宋体" w:hAnsi="宋体" w:eastAsia="宋体" w:cs="宋体"/>
          <w:i w:val="0"/>
          <w:iCs w:val="0"/>
          <w:caps w:val="0"/>
          <w:color w:val="000000"/>
          <w:spacing w:val="0"/>
          <w:sz w:val="14"/>
          <w:szCs w:val="14"/>
        </w:rPr>
      </w:pPr>
      <w:r>
        <w:rPr>
          <w:rFonts w:hint="eastAsia" w:ascii="宋体" w:hAnsi="宋体" w:eastAsia="宋体" w:cs="宋体"/>
          <w:i w:val="0"/>
          <w:iCs w:val="0"/>
          <w:caps w:val="0"/>
          <w:color w:val="000000"/>
          <w:spacing w:val="0"/>
          <w:kern w:val="0"/>
          <w:sz w:val="27"/>
          <w:szCs w:val="27"/>
          <w:shd w:val="clear" w:fill="FAFAFA"/>
          <w:lang w:val="en-US" w:eastAsia="zh-CN" w:bidi="ar"/>
        </w:rPr>
        <w:t>5.根据消防主管部门每一年一次的消防报警设备年检要求,甲方应每年进行一次消防检测,由乙方配合检测公司共同完成,提供年检报告。</w:t>
      </w:r>
    </w:p>
    <w:p w14:paraId="3A5960CD">
      <w:pPr>
        <w:keepNext w:val="0"/>
        <w:keepLines w:val="0"/>
        <w:widowControl/>
        <w:suppressLineNumbers w:val="0"/>
        <w:shd w:val="clear" w:fill="FAFAFA"/>
        <w:ind w:left="0" w:firstLine="540" w:firstLineChars="200"/>
        <w:jc w:val="left"/>
        <w:rPr>
          <w:rFonts w:hint="eastAsia" w:ascii="宋体" w:hAnsi="宋体" w:eastAsia="宋体" w:cs="宋体"/>
          <w:i w:val="0"/>
          <w:iCs w:val="0"/>
          <w:caps w:val="0"/>
          <w:color w:val="000000"/>
          <w:spacing w:val="0"/>
          <w:kern w:val="0"/>
          <w:sz w:val="27"/>
          <w:szCs w:val="27"/>
          <w:shd w:val="clear" w:fill="FAFAFA"/>
          <w:lang w:val="en-US" w:eastAsia="zh-CN" w:bidi="ar"/>
        </w:rPr>
      </w:pPr>
      <w:r>
        <w:rPr>
          <w:rFonts w:hint="eastAsia" w:ascii="宋体" w:hAnsi="宋体" w:eastAsia="宋体" w:cs="宋体"/>
          <w:i w:val="0"/>
          <w:iCs w:val="0"/>
          <w:caps w:val="0"/>
          <w:color w:val="000000"/>
          <w:spacing w:val="0"/>
          <w:kern w:val="0"/>
          <w:sz w:val="27"/>
          <w:szCs w:val="27"/>
          <w:shd w:val="clear" w:fill="FAFAFA"/>
          <w:lang w:val="en-US" w:eastAsia="zh-CN" w:bidi="ar"/>
        </w:rPr>
        <w:t>6.采购人在消防水系统、消防电系统各器部件正常运行的情况下交由成交供应商维护保养，若消防水系统、消防电系统因维护保养不到位所引起消防职能部门、相关行政部门罚款或处罚，全部责任由成交供应商承担。</w:t>
      </w:r>
    </w:p>
    <w:p w14:paraId="516CBC5E">
      <w:pPr>
        <w:pStyle w:val="7"/>
        <w:rPr>
          <w:rFonts w:hint="default"/>
          <w:b/>
          <w:bCs/>
          <w:sz w:val="24"/>
          <w:szCs w:val="32"/>
          <w:lang w:val="en-US" w:eastAsia="zh-CN"/>
        </w:rPr>
      </w:pPr>
      <w:r>
        <w:rPr>
          <w:rFonts w:hint="eastAsia" w:ascii="宋体" w:hAnsi="宋体" w:cs="宋体"/>
          <w:b/>
          <w:bCs/>
          <w:i w:val="0"/>
          <w:iCs w:val="0"/>
          <w:caps w:val="0"/>
          <w:color w:val="000000"/>
          <w:spacing w:val="0"/>
          <w:kern w:val="0"/>
          <w:sz w:val="32"/>
          <w:szCs w:val="32"/>
          <w:shd w:val="clear" w:fill="FAFAFA"/>
          <w:lang w:val="en-US" w:eastAsia="zh-CN" w:bidi="ar"/>
        </w:rPr>
        <w:t>(三）售后要求</w:t>
      </w:r>
    </w:p>
    <w:p w14:paraId="67D40415">
      <w:pPr>
        <w:keepNext w:val="0"/>
        <w:keepLines w:val="0"/>
        <w:widowControl/>
        <w:suppressLineNumbers w:val="0"/>
        <w:shd w:val="clear" w:fill="FAFAFA"/>
        <w:ind w:left="0" w:firstLine="540" w:firstLineChars="200"/>
        <w:jc w:val="left"/>
        <w:rPr>
          <w:rFonts w:hint="eastAsia" w:ascii="宋体" w:hAnsi="宋体" w:eastAsia="宋体" w:cs="宋体"/>
          <w:i w:val="0"/>
          <w:iCs w:val="0"/>
          <w:caps w:val="0"/>
          <w:color w:val="000000"/>
          <w:spacing w:val="0"/>
          <w:sz w:val="14"/>
          <w:szCs w:val="14"/>
        </w:rPr>
      </w:pPr>
      <w:r>
        <w:rPr>
          <w:rFonts w:hint="eastAsia" w:ascii="宋体" w:hAnsi="宋体" w:cs="宋体"/>
          <w:i w:val="0"/>
          <w:iCs w:val="0"/>
          <w:caps w:val="0"/>
          <w:color w:val="000000"/>
          <w:spacing w:val="0"/>
          <w:kern w:val="0"/>
          <w:sz w:val="27"/>
          <w:szCs w:val="27"/>
          <w:shd w:val="clear" w:fill="FAFAFA"/>
          <w:lang w:val="en-US" w:eastAsia="zh-CN" w:bidi="ar"/>
        </w:rPr>
        <w:t>1</w:t>
      </w:r>
      <w:r>
        <w:rPr>
          <w:rFonts w:hint="eastAsia" w:ascii="宋体" w:hAnsi="宋体" w:eastAsia="宋体" w:cs="宋体"/>
          <w:i w:val="0"/>
          <w:iCs w:val="0"/>
          <w:caps w:val="0"/>
          <w:color w:val="000000"/>
          <w:spacing w:val="0"/>
          <w:kern w:val="0"/>
          <w:sz w:val="27"/>
          <w:szCs w:val="27"/>
          <w:shd w:val="clear" w:fill="FAFAFA"/>
          <w:lang w:val="en-US" w:eastAsia="zh-CN" w:bidi="ar"/>
        </w:rPr>
        <w:t>.在发生火灾时，由于消防自动报警及联动系统、自动灭火系统、疏散设施、应急照明等设备、设施或线路故障不能工作，贻误灭火战机给采购人造成人员、财产损失或被应急消防机构列为隐患处罚的，中标供应商应承担相应经济责任或法律责任。</w:t>
      </w:r>
    </w:p>
    <w:p w14:paraId="640295CF">
      <w:pPr>
        <w:keepNext w:val="0"/>
        <w:keepLines w:val="0"/>
        <w:widowControl/>
        <w:suppressLineNumbers w:val="0"/>
        <w:shd w:val="clear" w:fill="FAFAFA"/>
        <w:ind w:left="0" w:firstLine="540" w:firstLineChars="200"/>
        <w:jc w:val="left"/>
        <w:rPr>
          <w:rFonts w:hint="eastAsia" w:ascii="宋体" w:hAnsi="宋体" w:eastAsia="宋体" w:cs="宋体"/>
          <w:i w:val="0"/>
          <w:iCs w:val="0"/>
          <w:caps w:val="0"/>
          <w:color w:val="000000"/>
          <w:spacing w:val="0"/>
          <w:sz w:val="14"/>
          <w:szCs w:val="14"/>
        </w:rPr>
      </w:pPr>
      <w:r>
        <w:rPr>
          <w:rFonts w:hint="eastAsia" w:ascii="宋体" w:hAnsi="宋体" w:cs="宋体"/>
          <w:i w:val="0"/>
          <w:iCs w:val="0"/>
          <w:caps w:val="0"/>
          <w:color w:val="000000"/>
          <w:spacing w:val="0"/>
          <w:kern w:val="0"/>
          <w:sz w:val="27"/>
          <w:szCs w:val="27"/>
          <w:shd w:val="clear" w:fill="FAFAFA"/>
          <w:lang w:val="en-US" w:eastAsia="zh-CN" w:bidi="ar"/>
        </w:rPr>
        <w:t>2</w:t>
      </w:r>
      <w:r>
        <w:rPr>
          <w:rFonts w:hint="eastAsia" w:ascii="宋体" w:hAnsi="宋体" w:eastAsia="宋体" w:cs="宋体"/>
          <w:i w:val="0"/>
          <w:iCs w:val="0"/>
          <w:caps w:val="0"/>
          <w:color w:val="000000"/>
          <w:spacing w:val="0"/>
          <w:kern w:val="0"/>
          <w:sz w:val="27"/>
          <w:szCs w:val="27"/>
          <w:shd w:val="clear" w:fill="FAFAFA"/>
          <w:lang w:val="en-US" w:eastAsia="zh-CN" w:bidi="ar"/>
        </w:rPr>
        <w:t>.中标供应商须常备足够的易损件，以保证消防设施设备故障能够得到及时维修。维保中需要更换配件时，配件单次低于200元(含200元)的，由中标供应商自行购买更换（报价时提供配件清单），相应费用均由乙方承担；配件单次高于200元的，维修人员提出书面报告，经甲方确认，双方共同询价后采购，配件费用由采购人承担，配件质保期一年。由于乙方维修操作不当造成零配件损坏等所产生的费用由乙方承担。</w:t>
      </w:r>
    </w:p>
    <w:p w14:paraId="226D5422">
      <w:pPr>
        <w:pStyle w:val="4"/>
        <w:rPr>
          <w:rFonts w:hint="eastAsia"/>
          <w:lang w:val="en-US" w:eastAsia="zh-CN"/>
        </w:rPr>
      </w:pPr>
    </w:p>
    <w:p w14:paraId="2DF2E6C9">
      <w:pPr>
        <w:pStyle w:val="4"/>
        <w:rPr>
          <w:rFonts w:hint="eastAsia" w:ascii="宋体" w:hAnsi="宋体" w:eastAsia="宋体" w:cs="宋体"/>
          <w:i w:val="0"/>
          <w:iCs w:val="0"/>
          <w:caps w:val="0"/>
          <w:color w:val="000000"/>
          <w:spacing w:val="0"/>
          <w:kern w:val="0"/>
          <w:sz w:val="27"/>
          <w:szCs w:val="27"/>
          <w:shd w:val="clear" w:fill="FAFAFA"/>
          <w:lang w:val="en-US" w:eastAsia="zh-CN" w:bidi="ar"/>
        </w:rPr>
      </w:pPr>
      <w:r>
        <w:rPr>
          <w:rFonts w:hint="eastAsia" w:ascii="宋体" w:hAnsi="宋体" w:eastAsia="宋体" w:cs="宋体"/>
          <w:i w:val="0"/>
          <w:iCs w:val="0"/>
          <w:caps w:val="0"/>
          <w:color w:val="000000"/>
          <w:spacing w:val="0"/>
          <w:kern w:val="0"/>
          <w:sz w:val="27"/>
          <w:szCs w:val="27"/>
          <w:shd w:val="clear" w:fill="FAFAFA"/>
          <w:lang w:val="en-US" w:eastAsia="zh-CN" w:bidi="ar"/>
        </w:rPr>
        <w:t>（四）其他要求</w:t>
      </w:r>
    </w:p>
    <w:p w14:paraId="565F774C">
      <w:pPr>
        <w:keepNext w:val="0"/>
        <w:keepLines w:val="0"/>
        <w:widowControl/>
        <w:suppressLineNumbers w:val="0"/>
        <w:shd w:val="clear" w:fill="FAFAFA"/>
        <w:ind w:left="0" w:firstLine="540" w:firstLineChars="200"/>
        <w:jc w:val="left"/>
        <w:rPr>
          <w:rFonts w:hint="eastAsia" w:ascii="宋体" w:hAnsi="宋体" w:eastAsia="宋体" w:cs="宋体"/>
          <w:i w:val="0"/>
          <w:iCs w:val="0"/>
          <w:caps w:val="0"/>
          <w:color w:val="000000"/>
          <w:spacing w:val="0"/>
          <w:sz w:val="14"/>
          <w:szCs w:val="14"/>
        </w:rPr>
      </w:pPr>
      <w:r>
        <w:rPr>
          <w:rFonts w:hint="eastAsia" w:ascii="宋体" w:hAnsi="宋体" w:eastAsia="宋体" w:cs="宋体"/>
          <w:i w:val="0"/>
          <w:iCs w:val="0"/>
          <w:caps w:val="0"/>
          <w:color w:val="000000"/>
          <w:spacing w:val="0"/>
          <w:kern w:val="0"/>
          <w:sz w:val="27"/>
          <w:szCs w:val="27"/>
          <w:shd w:val="clear" w:fill="FAFAFA"/>
          <w:lang w:val="en-US" w:eastAsia="zh-CN" w:bidi="ar"/>
        </w:rPr>
        <w:t>1.设施设备台账和检查记录清晰准确及时完整；</w:t>
      </w:r>
    </w:p>
    <w:p w14:paraId="6C345B34">
      <w:pPr>
        <w:keepNext w:val="0"/>
        <w:keepLines w:val="0"/>
        <w:widowControl/>
        <w:suppressLineNumbers w:val="0"/>
        <w:shd w:val="clear" w:fill="FAFAFA"/>
        <w:ind w:firstLine="540" w:firstLineChars="200"/>
        <w:jc w:val="left"/>
        <w:rPr>
          <w:rFonts w:hint="eastAsia" w:ascii="宋体" w:hAnsi="宋体" w:eastAsia="宋体" w:cs="宋体"/>
          <w:i w:val="0"/>
          <w:iCs w:val="0"/>
          <w:caps w:val="0"/>
          <w:color w:val="000000"/>
          <w:spacing w:val="0"/>
          <w:sz w:val="14"/>
          <w:szCs w:val="14"/>
        </w:rPr>
      </w:pPr>
      <w:r>
        <w:rPr>
          <w:rFonts w:hint="eastAsia" w:ascii="宋体" w:hAnsi="宋体" w:eastAsia="宋体" w:cs="宋体"/>
          <w:i w:val="0"/>
          <w:iCs w:val="0"/>
          <w:caps w:val="0"/>
          <w:color w:val="000000"/>
          <w:spacing w:val="0"/>
          <w:kern w:val="0"/>
          <w:sz w:val="27"/>
          <w:szCs w:val="27"/>
          <w:shd w:val="clear" w:fill="FAFAFA"/>
          <w:lang w:val="en-US" w:eastAsia="zh-CN" w:bidi="ar"/>
        </w:rPr>
        <w:t>2.设施设备表面干净整洁、无破损，布线规范，固定部位牢固；</w:t>
      </w:r>
    </w:p>
    <w:p w14:paraId="77B944F4">
      <w:pPr>
        <w:keepNext w:val="0"/>
        <w:keepLines w:val="0"/>
        <w:widowControl/>
        <w:suppressLineNumbers w:val="0"/>
        <w:shd w:val="clear" w:fill="FAFAFA"/>
        <w:ind w:firstLine="540" w:firstLineChars="200"/>
        <w:jc w:val="left"/>
        <w:rPr>
          <w:rFonts w:hint="eastAsia" w:ascii="宋体" w:hAnsi="宋体" w:eastAsia="宋体" w:cs="宋体"/>
          <w:i w:val="0"/>
          <w:iCs w:val="0"/>
          <w:caps w:val="0"/>
          <w:color w:val="000000"/>
          <w:spacing w:val="0"/>
          <w:sz w:val="14"/>
          <w:szCs w:val="14"/>
        </w:rPr>
      </w:pPr>
      <w:r>
        <w:rPr>
          <w:rFonts w:hint="eastAsia" w:ascii="宋体" w:hAnsi="宋体" w:eastAsia="宋体" w:cs="宋体"/>
          <w:i w:val="0"/>
          <w:iCs w:val="0"/>
          <w:caps w:val="0"/>
          <w:color w:val="000000"/>
          <w:spacing w:val="0"/>
          <w:kern w:val="0"/>
          <w:sz w:val="27"/>
          <w:szCs w:val="27"/>
          <w:shd w:val="clear" w:fill="FAFAFA"/>
          <w:lang w:val="en-US" w:eastAsia="zh-CN" w:bidi="ar"/>
        </w:rPr>
        <w:t>3.各级子系统可以正常使用，各级功能正常，系统故障及时修复；</w:t>
      </w:r>
    </w:p>
    <w:p w14:paraId="548476DB">
      <w:pPr>
        <w:keepNext w:val="0"/>
        <w:keepLines w:val="0"/>
        <w:widowControl/>
        <w:suppressLineNumbers w:val="0"/>
        <w:shd w:val="clear" w:fill="FAFAFA"/>
        <w:ind w:firstLine="540" w:firstLineChars="200"/>
        <w:jc w:val="left"/>
        <w:rPr>
          <w:rFonts w:hint="eastAsia" w:ascii="宋体" w:hAnsi="宋体" w:eastAsia="宋体" w:cs="宋体"/>
          <w:i w:val="0"/>
          <w:iCs w:val="0"/>
          <w:caps w:val="0"/>
          <w:color w:val="000000"/>
          <w:spacing w:val="0"/>
          <w:sz w:val="14"/>
          <w:szCs w:val="14"/>
        </w:rPr>
      </w:pPr>
      <w:r>
        <w:rPr>
          <w:rFonts w:hint="eastAsia" w:ascii="宋体" w:hAnsi="宋体" w:eastAsia="宋体" w:cs="宋体"/>
          <w:i w:val="0"/>
          <w:iCs w:val="0"/>
          <w:caps w:val="0"/>
          <w:color w:val="000000"/>
          <w:spacing w:val="0"/>
          <w:kern w:val="0"/>
          <w:sz w:val="27"/>
          <w:szCs w:val="27"/>
          <w:shd w:val="clear" w:fill="FAFAFA"/>
          <w:lang w:val="en-US" w:eastAsia="zh-CN" w:bidi="ar"/>
        </w:rPr>
        <w:t>4.其他未尽事宜按照行业相关规定严格执行；</w:t>
      </w:r>
    </w:p>
    <w:p w14:paraId="5610F087">
      <w:pPr>
        <w:keepNext w:val="0"/>
        <w:keepLines w:val="0"/>
        <w:widowControl/>
        <w:suppressLineNumbers w:val="0"/>
        <w:shd w:val="clear" w:fill="FAFAFA"/>
        <w:ind w:firstLine="540" w:firstLineChars="200"/>
        <w:jc w:val="left"/>
        <w:rPr>
          <w:rFonts w:hint="eastAsia" w:ascii="宋体" w:hAnsi="宋体" w:eastAsia="宋体" w:cs="宋体"/>
          <w:i w:val="0"/>
          <w:iCs w:val="0"/>
          <w:caps w:val="0"/>
          <w:color w:val="000000"/>
          <w:spacing w:val="0"/>
          <w:sz w:val="14"/>
          <w:szCs w:val="14"/>
        </w:rPr>
      </w:pPr>
      <w:r>
        <w:rPr>
          <w:rFonts w:hint="eastAsia" w:ascii="宋体" w:hAnsi="宋体" w:eastAsia="宋体" w:cs="宋体"/>
          <w:i w:val="0"/>
          <w:iCs w:val="0"/>
          <w:caps w:val="0"/>
          <w:color w:val="000000"/>
          <w:spacing w:val="0"/>
          <w:kern w:val="0"/>
          <w:sz w:val="27"/>
          <w:szCs w:val="27"/>
          <w:shd w:val="clear" w:fill="FAFAFA"/>
          <w:lang w:val="en-US" w:eastAsia="zh-CN" w:bidi="ar"/>
        </w:rPr>
        <w:t>5.其他维护保养内容严格按照消防维护保养方案和消防维护保养作业手册执行；</w:t>
      </w:r>
    </w:p>
    <w:p w14:paraId="66E8DD0A">
      <w:pPr>
        <w:keepNext w:val="0"/>
        <w:keepLines w:val="0"/>
        <w:widowControl/>
        <w:suppressLineNumbers w:val="0"/>
        <w:shd w:val="clear" w:fill="FAFAFA"/>
        <w:ind w:firstLine="540" w:firstLineChars="200"/>
        <w:jc w:val="left"/>
        <w:rPr>
          <w:rFonts w:hint="eastAsia" w:ascii="宋体" w:hAnsi="宋体" w:eastAsia="宋体" w:cs="宋体"/>
          <w:i w:val="0"/>
          <w:iCs w:val="0"/>
          <w:caps w:val="0"/>
          <w:color w:val="000000"/>
          <w:spacing w:val="0"/>
          <w:sz w:val="14"/>
          <w:szCs w:val="14"/>
        </w:rPr>
      </w:pPr>
      <w:r>
        <w:rPr>
          <w:rFonts w:hint="eastAsia" w:ascii="宋体" w:hAnsi="宋体" w:eastAsia="宋体" w:cs="宋体"/>
          <w:i w:val="0"/>
          <w:iCs w:val="0"/>
          <w:caps w:val="0"/>
          <w:color w:val="000000"/>
          <w:spacing w:val="0"/>
          <w:kern w:val="0"/>
          <w:sz w:val="27"/>
          <w:szCs w:val="27"/>
          <w:shd w:val="clear" w:fill="FAFAFA"/>
          <w:lang w:val="en-US" w:eastAsia="zh-CN" w:bidi="ar"/>
        </w:rPr>
        <w:t>6.为确保维保质量考核标准和服务质量，有效提高服务标准，甲方将会对乙方提供维保服务进行考核。</w:t>
      </w:r>
    </w:p>
    <w:p w14:paraId="6974CEC1">
      <w:pPr>
        <w:rPr>
          <w:rFonts w:hint="default"/>
          <w:lang w:val="en-US" w:eastAsia="zh-CN"/>
        </w:rPr>
      </w:pPr>
    </w:p>
    <w:p w14:paraId="19F4285D">
      <w:pPr>
        <w:pStyle w:val="4"/>
        <w:numPr>
          <w:ilvl w:val="0"/>
          <w:numId w:val="0"/>
        </w:numPr>
        <w:ind w:leftChars="0"/>
        <w:rPr>
          <w:rFonts w:hint="eastAsia"/>
        </w:rPr>
      </w:pPr>
      <w:r>
        <w:rPr>
          <w:rFonts w:hint="eastAsia"/>
          <w:sz w:val="28"/>
          <w:szCs w:val="28"/>
          <w:lang w:val="en-US" w:eastAsia="zh-CN"/>
        </w:rPr>
        <w:t>（五）</w:t>
      </w:r>
      <w:r>
        <w:rPr>
          <w:rFonts w:hint="eastAsia"/>
          <w:sz w:val="28"/>
          <w:szCs w:val="28"/>
        </w:rPr>
        <w:t>商务要求</w:t>
      </w:r>
      <w:bookmarkEnd w:id="10"/>
    </w:p>
    <w:p w14:paraId="4D4028C5">
      <w:pPr>
        <w:spacing w:line="560" w:lineRule="exact"/>
        <w:ind w:firstLine="548" w:firstLineChars="196"/>
        <w:rPr>
          <w:rFonts w:hint="default"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kern w:val="2"/>
          <w:sz w:val="28"/>
          <w:szCs w:val="16"/>
          <w:lang w:val="en-US" w:eastAsia="zh-CN" w:bidi="ar-SA"/>
        </w:rPr>
        <w:t>1、服务期限：</w:t>
      </w:r>
      <w:r>
        <w:rPr>
          <w:rFonts w:hint="eastAsia" w:ascii="方正仿宋_GBK" w:hAnsi="方正仿宋_GBK" w:eastAsia="方正仿宋_GBK" w:cs="方正仿宋_GBK"/>
          <w:kern w:val="2"/>
          <w:sz w:val="28"/>
          <w:szCs w:val="16"/>
          <w:highlight w:val="none"/>
          <w:lang w:val="en-US" w:eastAsia="zh-CN" w:bidi="ar-SA"/>
        </w:rPr>
        <w:t>本次采购有效期2年（自合同签订之日起24个月），因国家政策变化、政府机构职能调整和不可抗力等因素服务终止。</w:t>
      </w:r>
      <w:r>
        <w:rPr>
          <w:rFonts w:hint="eastAsia" w:ascii="方正仿宋_GBK" w:eastAsia="方正仿宋_GBK" w:cs="仿宋_GB2312"/>
          <w:sz w:val="32"/>
          <w:szCs w:val="32"/>
          <w:highlight w:val="none"/>
          <w:lang w:val="en-US" w:eastAsia="zh-CN" w:bidi="ar-SA"/>
        </w:rPr>
        <w:t>（</w:t>
      </w:r>
      <w:r>
        <w:rPr>
          <w:rFonts w:hint="eastAsia" w:ascii="方正仿宋_GBK" w:hAnsi="方正仿宋_GBK" w:eastAsia="方正仿宋_GBK" w:cs="方正仿宋_GBK"/>
          <w:color w:val="auto"/>
          <w:kern w:val="0"/>
          <w:sz w:val="28"/>
          <w:szCs w:val="28"/>
          <w:highlight w:val="none"/>
          <w:lang w:val="en-US" w:eastAsia="zh-CN"/>
        </w:rPr>
        <w:t>合同以年为单位签订，到期后甲方将会对乙方提供维保服务进行考核，合格后续签下一年度合同)。</w:t>
      </w:r>
    </w:p>
    <w:p w14:paraId="23AAB9FB">
      <w:pPr>
        <w:ind w:firstLine="560" w:firstLineChars="200"/>
        <w:rPr>
          <w:rFonts w:hint="eastAsia" w:ascii="方正仿宋_GBK" w:hAnsi="方正仿宋_GBK" w:eastAsia="方正仿宋_GBK" w:cs="方正仿宋_GBK"/>
          <w:sz w:val="28"/>
          <w:szCs w:val="16"/>
        </w:rPr>
      </w:pPr>
      <w:r>
        <w:rPr>
          <w:rFonts w:hint="eastAsia" w:ascii="方正仿宋_GBK" w:hAnsi="方正仿宋_GBK" w:eastAsia="方正仿宋_GBK" w:cs="方正仿宋_GBK"/>
          <w:sz w:val="28"/>
          <w:szCs w:val="16"/>
        </w:rPr>
        <w:t>2、履约地点：采购人指定地点。</w:t>
      </w:r>
    </w:p>
    <w:p w14:paraId="21A6E892">
      <w:pPr>
        <w:adjustRightInd w:val="0"/>
        <w:snapToGrid w:val="0"/>
        <w:spacing w:line="360" w:lineRule="auto"/>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16"/>
          <w:lang w:val="en-US" w:eastAsia="zh-CN"/>
        </w:rPr>
        <w:t>3</w:t>
      </w:r>
      <w:r>
        <w:rPr>
          <w:rFonts w:hint="eastAsia" w:ascii="方正仿宋_GBK" w:hAnsi="方正仿宋_GBK" w:eastAsia="方正仿宋_GBK" w:cs="方正仿宋_GBK"/>
          <w:sz w:val="28"/>
          <w:szCs w:val="16"/>
        </w:rPr>
        <w:t>、</w:t>
      </w:r>
      <w:r>
        <w:rPr>
          <w:rFonts w:hint="eastAsia" w:ascii="方正仿宋_GBK" w:hAnsi="方正仿宋_GBK" w:eastAsia="方正仿宋_GBK" w:cs="方正仿宋_GBK"/>
          <w:sz w:val="28"/>
          <w:szCs w:val="16"/>
          <w:highlight w:val="none"/>
        </w:rPr>
        <w:t>付款方式：</w:t>
      </w:r>
      <w:r>
        <w:rPr>
          <w:rFonts w:hint="eastAsia" w:ascii="方正仿宋_GBK" w:hAnsi="方正仿宋_GBK" w:eastAsia="方正仿宋_GBK" w:cs="方正仿宋_GBK"/>
          <w:sz w:val="28"/>
          <w:szCs w:val="16"/>
          <w:highlight w:val="none"/>
          <w:lang w:val="en-US" w:eastAsia="zh-CN"/>
        </w:rPr>
        <w:t>以年为单位，按季度付款，每季度付款25%。</w:t>
      </w:r>
      <w:r>
        <w:rPr>
          <w:rFonts w:hint="eastAsia" w:ascii="方正仿宋_GBK" w:hAnsi="方正仿宋_GBK" w:eastAsia="方正仿宋_GBK" w:cs="方正仿宋_GBK"/>
          <w:color w:val="auto"/>
          <w:sz w:val="28"/>
          <w:szCs w:val="28"/>
          <w:highlight w:val="none"/>
          <w:lang w:val="en-US" w:eastAsia="zh-CN"/>
        </w:rPr>
        <w:t xml:space="preserve"> </w:t>
      </w:r>
    </w:p>
    <w:p w14:paraId="0DC045CB">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4、</w:t>
      </w:r>
      <w:r>
        <w:rPr>
          <w:rFonts w:hint="eastAsia" w:ascii="方正仿宋_GBK" w:hAnsi="方正仿宋_GBK" w:eastAsia="方正仿宋_GBK" w:cs="方正仿宋_GBK"/>
          <w:sz w:val="28"/>
          <w:szCs w:val="28"/>
          <w:highlight w:val="none"/>
        </w:rPr>
        <w:t xml:space="preserve">履约验收标准： </w:t>
      </w:r>
      <w:r>
        <w:rPr>
          <w:rFonts w:hint="eastAsia" w:ascii="方正仿宋_GBK" w:hAnsi="方正仿宋_GBK" w:eastAsia="方正仿宋_GBK" w:cs="方正仿宋_GBK"/>
          <w:sz w:val="28"/>
          <w:szCs w:val="28"/>
          <w:highlight w:val="none"/>
          <w:lang w:val="en-US" w:eastAsia="zh-CN"/>
        </w:rPr>
        <w:t>按合同约定为准</w:t>
      </w:r>
    </w:p>
    <w:p w14:paraId="75E8BC52">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4.1 如出现未在采购文件中明确规定的，以国家或行业相关标准为准。如采购双方如对质量要求和技术指标的约定标准有相互抵触或异议的事项，由采购人在采购文件与响应文件中按质量要求和技术指标、行业标准比较优胜的原则确定该项的约定标准进行验收。</w:t>
      </w:r>
    </w:p>
    <w:p w14:paraId="348ACA45">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验收的主要依据如下:</w:t>
      </w:r>
    </w:p>
    <w:p w14:paraId="28CD98A1">
      <w:pPr>
        <w:keepNext w:val="0"/>
        <w:keepLines w:val="0"/>
        <w:pageBreakBefore w:val="0"/>
        <w:widowControl w:val="0"/>
        <w:numPr>
          <w:ilvl w:val="0"/>
          <w:numId w:val="3"/>
        </w:numPr>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国家相关的法律法规；</w:t>
      </w:r>
    </w:p>
    <w:p w14:paraId="0966780E">
      <w:pPr>
        <w:keepNext w:val="0"/>
        <w:keepLines w:val="0"/>
        <w:pageBreakBefore w:val="0"/>
        <w:widowControl w:val="0"/>
        <w:numPr>
          <w:ilvl w:val="0"/>
          <w:numId w:val="3"/>
        </w:numPr>
        <w:kinsoku/>
        <w:wordWrap/>
        <w:overflowPunct/>
        <w:topLinePunct w:val="0"/>
        <w:autoSpaceDE/>
        <w:autoSpaceDN/>
        <w:bidi w:val="0"/>
        <w:adjustRightInd/>
        <w:snapToGrid/>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国家或行业相关标准规范；</w:t>
      </w:r>
    </w:p>
    <w:p w14:paraId="7C496E67">
      <w:pPr>
        <w:keepNext w:val="0"/>
        <w:keepLines w:val="0"/>
        <w:pageBreakBefore w:val="0"/>
        <w:widowControl w:val="0"/>
        <w:numPr>
          <w:ilvl w:val="0"/>
          <w:numId w:val="3"/>
        </w:numPr>
        <w:kinsoku/>
        <w:wordWrap/>
        <w:overflowPunct/>
        <w:topLinePunct w:val="0"/>
        <w:autoSpaceDE/>
        <w:autoSpaceDN/>
        <w:bidi w:val="0"/>
        <w:adjustRightInd/>
        <w:snapToGrid/>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本项目磋商文件、响应文件；</w:t>
      </w:r>
    </w:p>
    <w:p w14:paraId="5DA49CA7">
      <w:pPr>
        <w:keepNext w:val="0"/>
        <w:keepLines w:val="0"/>
        <w:pageBreakBefore w:val="0"/>
        <w:widowControl w:val="0"/>
        <w:numPr>
          <w:ilvl w:val="0"/>
          <w:numId w:val="3"/>
        </w:numPr>
        <w:kinsoku/>
        <w:wordWrap/>
        <w:overflowPunct/>
        <w:topLinePunct w:val="0"/>
        <w:autoSpaceDE/>
        <w:autoSpaceDN/>
        <w:bidi w:val="0"/>
        <w:adjustRightInd/>
        <w:snapToGrid/>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项目合同及其附件；</w:t>
      </w:r>
    </w:p>
    <w:p w14:paraId="179A82E4">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（5）其他相关文件资料。其他未尽事项</w:t>
      </w:r>
      <w:r>
        <w:rPr>
          <w:rFonts w:hint="eastAsia" w:ascii="方正仿宋_GBK" w:hAnsi="方正仿宋_GBK" w:eastAsia="方正仿宋_GBK" w:cs="方正仿宋_GBK"/>
          <w:sz w:val="28"/>
          <w:szCs w:val="28"/>
          <w:lang w:eastAsia="zh-Hans"/>
        </w:rPr>
        <w:t>严格按照采购人将按照《财政部关于进一步加强政府采购需求和履约验收管理的指导意见》（财库〔2016〕205号）、《巴中市财政局关于进一步加强政府采购项目合同履约验收管理工作的通知》（巴财采〔2021〕21号）文件要求及国家、行业相关标准、合同约定标准进行验收</w:t>
      </w:r>
      <w:r>
        <w:rPr>
          <w:rFonts w:hint="eastAsia" w:ascii="方正仿宋_GBK" w:hAnsi="方正仿宋_GBK" w:eastAsia="方正仿宋_GBK" w:cs="方正仿宋_GBK"/>
          <w:sz w:val="28"/>
          <w:szCs w:val="28"/>
        </w:rPr>
        <w:t xml:space="preserve">。 </w:t>
      </w:r>
    </w:p>
    <w:p w14:paraId="26844948">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4.2 验收主体：</w:t>
      </w:r>
      <w:r>
        <w:rPr>
          <w:rFonts w:hint="eastAsia" w:ascii="方正仿宋_GBK" w:hAnsi="方正仿宋_GBK" w:eastAsia="方正仿宋_GBK" w:cs="方正仿宋_GBK"/>
          <w:sz w:val="28"/>
          <w:szCs w:val="28"/>
          <w:highlight w:val="none"/>
          <w:lang w:eastAsia="zh-CN"/>
        </w:rPr>
        <w:t>巴中市文化广播电视体育和旅游局</w:t>
      </w:r>
      <w:r>
        <w:rPr>
          <w:rFonts w:hint="eastAsia" w:ascii="方正仿宋_GBK" w:hAnsi="方正仿宋_GBK" w:eastAsia="方正仿宋_GBK" w:cs="方正仿宋_GBK"/>
          <w:sz w:val="28"/>
          <w:szCs w:val="28"/>
          <w:highlight w:val="none"/>
        </w:rPr>
        <w:t xml:space="preserve">。 </w:t>
      </w:r>
    </w:p>
    <w:p w14:paraId="199BB215">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4.3 验收时间：供应商提出验收申请 15 日内组织。 </w:t>
      </w:r>
    </w:p>
    <w:p w14:paraId="45B36998">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、知识产权归属和处理方式：</w:t>
      </w:r>
    </w:p>
    <w:p w14:paraId="145FDDB3">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供应商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46922980">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（2）采购人享有本项目实施过程中产生的知识成果及知识产权。</w:t>
      </w:r>
    </w:p>
    <w:p w14:paraId="1B044346">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（3）如采用供应商所不拥有的知识产权，则在报价中必须包括合法获取该知识产权的相关费用。 </w:t>
      </w:r>
    </w:p>
    <w:p w14:paraId="7C41CE06">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、成本补偿和风险分担约定：</w:t>
      </w:r>
    </w:p>
    <w:p w14:paraId="68B5E942">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（1）在合同有效期内，任何一方因不可抗力事件导致不能履行合同，则合同履行期可延长，其延长期与不可抗力影响期相同。</w:t>
      </w:r>
    </w:p>
    <w:p w14:paraId="5EC09418">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（2）不可抗力事件发生后，应立即通知对方，并寄送有关权威机构出具的证明。</w:t>
      </w:r>
    </w:p>
    <w:p w14:paraId="2619004E">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（3）不可抗力事件延续 20 天以上，双方应通过友好协商，确定是否继续履行合同。 </w:t>
      </w:r>
    </w:p>
    <w:p w14:paraId="10A0117F">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rPr>
        <w:t>、技术履约验收内容：严格按照磋商文件要求及响应文件应答进行验收。</w:t>
      </w:r>
    </w:p>
    <w:p w14:paraId="653A1896">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rPr>
        <w:t>、商务履约验收内容：严格按照磋商文件要求及响应文件应答进行验收。</w:t>
      </w:r>
    </w:p>
    <w:p w14:paraId="33DC7461">
      <w:pPr>
        <w:pStyle w:val="3"/>
        <w:rPr>
          <w:rFonts w:ascii="方正仿宋_GBK" w:hAnsi="方正仿宋_GBK"/>
          <w:sz w:val="28"/>
          <w:szCs w:val="28"/>
        </w:rPr>
      </w:pPr>
      <w:bookmarkStart w:id="11" w:name="_Toc8612"/>
      <w:bookmarkStart w:id="12" w:name="_Toc31196"/>
      <w:bookmarkStart w:id="13" w:name="_Toc6686"/>
      <w:r>
        <w:rPr>
          <w:rFonts w:hint="eastAsia" w:ascii="方正仿宋_GBK" w:hAnsi="方正仿宋_GBK"/>
          <w:sz w:val="28"/>
          <w:szCs w:val="28"/>
          <w:lang w:eastAsia="zh-CN"/>
        </w:rPr>
        <w:t>四、</w:t>
      </w:r>
      <w:r>
        <w:rPr>
          <w:rFonts w:hint="eastAsia" w:ascii="方正仿宋_GBK" w:hAnsi="方正仿宋_GBK"/>
          <w:sz w:val="28"/>
          <w:szCs w:val="28"/>
        </w:rPr>
        <w:t>响应文件要求</w:t>
      </w:r>
      <w:bookmarkEnd w:id="11"/>
      <w:bookmarkEnd w:id="12"/>
      <w:bookmarkEnd w:id="13"/>
    </w:p>
    <w:p w14:paraId="1B56B17C">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4.1、资格响应部分</w:t>
      </w:r>
    </w:p>
    <w:tbl>
      <w:tblPr>
        <w:tblStyle w:val="30"/>
        <w:tblW w:w="4883"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2494"/>
        <w:gridCol w:w="4695"/>
      </w:tblGrid>
      <w:tr w14:paraId="781A4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shd w:val="clear" w:color="auto" w:fill="FFFFFF"/>
            <w:noWrap w:val="0"/>
            <w:vAlign w:val="center"/>
          </w:tcPr>
          <w:p w14:paraId="66E3AE54">
            <w:pPr>
              <w:spacing w:line="520" w:lineRule="exact"/>
              <w:jc w:val="center"/>
              <w:rPr>
                <w:rFonts w:ascii="方正仿宋_GBK" w:hAnsi="方正仿宋_GBK" w:eastAsia="方正仿宋_GBK" w:cs="方正仿宋_GBK"/>
                <w:b/>
                <w:bCs/>
                <w:szCs w:val="21"/>
              </w:rPr>
            </w:pPr>
            <w:r>
              <w:rPr>
                <w:rFonts w:hint="eastAsia" w:ascii="方正仿宋_GBK" w:hAnsi="方正仿宋_GBK" w:eastAsia="方正仿宋_GBK" w:cs="方正仿宋_GBK"/>
                <w:b/>
                <w:bCs/>
                <w:szCs w:val="21"/>
              </w:rPr>
              <w:t>序号</w:t>
            </w:r>
          </w:p>
        </w:tc>
        <w:tc>
          <w:tcPr>
            <w:tcW w:w="2494" w:type="dxa"/>
            <w:shd w:val="clear" w:color="auto" w:fill="FFFFFF"/>
            <w:noWrap w:val="0"/>
            <w:vAlign w:val="center"/>
          </w:tcPr>
          <w:p w14:paraId="3C746A29">
            <w:pPr>
              <w:spacing w:line="520" w:lineRule="exact"/>
              <w:jc w:val="center"/>
              <w:rPr>
                <w:rFonts w:ascii="方正仿宋_GBK" w:hAnsi="方正仿宋_GBK" w:eastAsia="方正仿宋_GBK" w:cs="方正仿宋_GBK"/>
                <w:b/>
                <w:bCs/>
                <w:szCs w:val="21"/>
              </w:rPr>
            </w:pPr>
            <w:r>
              <w:rPr>
                <w:rFonts w:hint="eastAsia" w:ascii="方正仿宋_GBK" w:hAnsi="方正仿宋_GBK" w:eastAsia="方正仿宋_GBK" w:cs="方正仿宋_GBK"/>
                <w:b/>
                <w:bCs/>
                <w:szCs w:val="21"/>
              </w:rPr>
              <w:t>资格要求</w:t>
            </w:r>
          </w:p>
        </w:tc>
        <w:tc>
          <w:tcPr>
            <w:tcW w:w="4695" w:type="dxa"/>
            <w:shd w:val="clear" w:color="auto" w:fill="FFFFFF"/>
            <w:noWrap w:val="0"/>
            <w:vAlign w:val="center"/>
          </w:tcPr>
          <w:p w14:paraId="45A8A163">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
                <w:bCs/>
                <w:szCs w:val="21"/>
              </w:rPr>
              <w:t>资格证明文件</w:t>
            </w:r>
          </w:p>
        </w:tc>
      </w:tr>
      <w:tr w14:paraId="55FBC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shd w:val="clear" w:color="auto" w:fill="FFFFFF"/>
            <w:noWrap w:val="0"/>
            <w:vAlign w:val="center"/>
          </w:tcPr>
          <w:p w14:paraId="688C9BC0">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1</w:t>
            </w:r>
          </w:p>
        </w:tc>
        <w:tc>
          <w:tcPr>
            <w:tcW w:w="2494" w:type="dxa"/>
            <w:shd w:val="clear" w:color="auto" w:fill="FFFFFF"/>
            <w:noWrap w:val="0"/>
            <w:vAlign w:val="center"/>
          </w:tcPr>
          <w:p w14:paraId="70088AEA">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color w:val="000000"/>
                <w:szCs w:val="21"/>
              </w:rPr>
              <w:t>具有独立承担民事责任的能力</w:t>
            </w:r>
          </w:p>
        </w:tc>
        <w:tc>
          <w:tcPr>
            <w:tcW w:w="4695" w:type="dxa"/>
            <w:shd w:val="clear" w:color="auto" w:fill="FFFFFF"/>
            <w:noWrap w:val="0"/>
            <w:vAlign w:val="center"/>
          </w:tcPr>
          <w:p w14:paraId="1EC2B67B">
            <w:pPr>
              <w:spacing w:line="520" w:lineRule="exact"/>
              <w:jc w:val="left"/>
              <w:rPr>
                <w:rFonts w:ascii="方正仿宋_GBK" w:hAnsi="方正仿宋_GBK" w:eastAsia="方正仿宋_GBK" w:cs="方正仿宋_GBK"/>
                <w:bCs/>
                <w:color w:val="000000"/>
                <w:szCs w:val="21"/>
              </w:rPr>
            </w:pPr>
            <w:r>
              <w:rPr>
                <w:rFonts w:hint="eastAsia" w:ascii="方正仿宋_GBK" w:hAnsi="方正仿宋_GBK" w:eastAsia="方正仿宋_GBK" w:cs="方正仿宋_GBK"/>
                <w:bCs/>
                <w:color w:val="000000"/>
                <w:szCs w:val="21"/>
              </w:rPr>
              <w:t>1.供应商若为企业法人：提供“多证合一的营业执照”；若为事业法人：提供“统一社会信用代码法人登记证书”； 若为其他组织：提供“对应主管部门颁发的准许执业证明文件或营业执照或其他能够证明其依法有效存在的书面材料”； 若为自然人：提供“身份证明材料”；</w:t>
            </w:r>
          </w:p>
          <w:p w14:paraId="48E25153">
            <w:pPr>
              <w:spacing w:line="520" w:lineRule="exact"/>
              <w:jc w:val="left"/>
              <w:rPr>
                <w:rFonts w:ascii="方正仿宋_GBK" w:hAnsi="方正仿宋_GBK" w:eastAsia="方正仿宋_GBK" w:cs="方正仿宋_GBK"/>
                <w:bCs/>
                <w:color w:val="000000"/>
                <w:szCs w:val="21"/>
              </w:rPr>
            </w:pPr>
            <w:r>
              <w:rPr>
                <w:rFonts w:hint="eastAsia" w:ascii="方正仿宋_GBK" w:hAnsi="方正仿宋_GBK" w:eastAsia="方正仿宋_GBK" w:cs="方正仿宋_GBK"/>
                <w:bCs/>
                <w:color w:val="000000"/>
                <w:szCs w:val="21"/>
              </w:rPr>
              <w:t>2.提供法定代表人/负责人身份证明书（含法定代表人/负责人身份证明材料）；</w:t>
            </w:r>
          </w:p>
          <w:p w14:paraId="2DF51B89">
            <w:pPr>
              <w:spacing w:line="520" w:lineRule="exact"/>
              <w:jc w:val="left"/>
              <w:rPr>
                <w:rFonts w:ascii="方正仿宋_GBK" w:hAnsi="方正仿宋_GBK" w:eastAsia="方正仿宋_GBK" w:cs="方正仿宋_GBK"/>
                <w:bCs/>
                <w:szCs w:val="21"/>
              </w:rPr>
            </w:pPr>
            <w:r>
              <w:rPr>
                <w:rFonts w:hint="eastAsia" w:ascii="方正仿宋_GBK" w:hAnsi="方正仿宋_GBK" w:eastAsia="方正仿宋_GBK" w:cs="方正仿宋_GBK"/>
                <w:bCs/>
                <w:color w:val="000000"/>
                <w:szCs w:val="21"/>
              </w:rPr>
              <w:t>3.供应商派出参加采购活动的代表不是法定代表人或负责人的，应提供授权代表的《授权委托书》及其身份证明材料。</w:t>
            </w:r>
          </w:p>
        </w:tc>
      </w:tr>
      <w:tr w14:paraId="3ED79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shd w:val="clear" w:color="auto" w:fill="FFFFFF"/>
            <w:noWrap w:val="0"/>
            <w:vAlign w:val="center"/>
          </w:tcPr>
          <w:p w14:paraId="5A0E82C0">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2</w:t>
            </w:r>
          </w:p>
        </w:tc>
        <w:tc>
          <w:tcPr>
            <w:tcW w:w="2494" w:type="dxa"/>
            <w:shd w:val="clear" w:color="auto" w:fill="FFFFFF"/>
            <w:noWrap w:val="0"/>
            <w:vAlign w:val="center"/>
          </w:tcPr>
          <w:p w14:paraId="5A82059A">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color w:val="000000"/>
                <w:szCs w:val="21"/>
              </w:rPr>
              <w:t>具有良好的商业信誉和健全的财务会计制度</w:t>
            </w:r>
          </w:p>
        </w:tc>
        <w:tc>
          <w:tcPr>
            <w:tcW w:w="4695" w:type="dxa"/>
            <w:shd w:val="clear" w:color="auto" w:fill="FFFFFF"/>
            <w:noWrap w:val="0"/>
            <w:vAlign w:val="center"/>
          </w:tcPr>
          <w:p w14:paraId="68BD1B3A">
            <w:pPr>
              <w:spacing w:line="360" w:lineRule="auto"/>
              <w:jc w:val="lef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（1）提供具有良好商业信誉的承诺函；</w:t>
            </w:r>
          </w:p>
          <w:p w14:paraId="2766094B">
            <w:pPr>
              <w:spacing w:line="360" w:lineRule="auto"/>
              <w:jc w:val="lef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（2）提供财务状况报告（以下二任选其一）：</w:t>
            </w:r>
          </w:p>
          <w:p w14:paraId="157BD1BD">
            <w:pPr>
              <w:spacing w:line="360" w:lineRule="auto"/>
              <w:jc w:val="lef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a.提供2021年度经会计师事务所审计的完整财务报告复印件或提供银行出具的有效期内的资信证明复印件；</w:t>
            </w:r>
          </w:p>
          <w:p w14:paraId="32B626D4">
            <w:pPr>
              <w:spacing w:line="360" w:lineRule="auto"/>
              <w:jc w:val="left"/>
              <w:rPr>
                <w:rFonts w:ascii="方正仿宋_GBK" w:hAnsi="方正仿宋_GBK" w:eastAsia="方正仿宋_GBK" w:cs="方正仿宋_GBK"/>
                <w:szCs w:val="21"/>
              </w:rPr>
            </w:pPr>
            <w:r>
              <w:rPr>
                <w:rFonts w:hint="eastAsia" w:ascii="方正仿宋_GBK" w:hAnsi="方正仿宋_GBK" w:eastAsia="方正仿宋_GBK" w:cs="方正仿宋_GBK"/>
                <w:color w:val="000000"/>
                <w:szCs w:val="21"/>
              </w:rPr>
              <w:t>b.供应商注册时间至文件递交截止日不足一年的，提供在市场监督管理部门备案的公司章程(复印件)或提供其内部财务报表（至少包括资产负债表、利润表、现金流量表）；</w:t>
            </w:r>
          </w:p>
        </w:tc>
      </w:tr>
      <w:tr w14:paraId="0816F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shd w:val="clear" w:color="auto" w:fill="FFFFFF"/>
            <w:noWrap w:val="0"/>
            <w:vAlign w:val="center"/>
          </w:tcPr>
          <w:p w14:paraId="725BF3AB">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3</w:t>
            </w:r>
          </w:p>
        </w:tc>
        <w:tc>
          <w:tcPr>
            <w:tcW w:w="2494" w:type="dxa"/>
            <w:shd w:val="clear" w:color="auto" w:fill="FFFFFF"/>
            <w:noWrap w:val="0"/>
            <w:vAlign w:val="center"/>
          </w:tcPr>
          <w:p w14:paraId="28560A23">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color w:val="000000"/>
                <w:szCs w:val="21"/>
              </w:rPr>
              <w:t>具有履行合同所必需的设备和专业技术能力</w:t>
            </w:r>
          </w:p>
        </w:tc>
        <w:tc>
          <w:tcPr>
            <w:tcW w:w="4695" w:type="dxa"/>
            <w:shd w:val="clear" w:color="auto" w:fill="FFFFFF"/>
            <w:noWrap w:val="0"/>
            <w:vAlign w:val="center"/>
          </w:tcPr>
          <w:p w14:paraId="425A4C3A">
            <w:pPr>
              <w:spacing w:line="520" w:lineRule="exact"/>
              <w:jc w:val="left"/>
              <w:rPr>
                <w:rFonts w:ascii="方正仿宋_GBK" w:hAnsi="方正仿宋_GBK" w:eastAsia="方正仿宋_GBK" w:cs="方正仿宋_GBK"/>
                <w:bCs/>
                <w:szCs w:val="21"/>
              </w:rPr>
            </w:pPr>
            <w:r>
              <w:rPr>
                <w:rFonts w:hint="eastAsia" w:ascii="方正仿宋_GBK" w:hAnsi="方正仿宋_GBK" w:eastAsia="方正仿宋_GBK" w:cs="方正仿宋_GBK"/>
                <w:bCs/>
                <w:color w:val="000000"/>
                <w:szCs w:val="21"/>
              </w:rPr>
              <w:t>提供承诺函或具有履行合同所必需的设备和专业技术能力的证明材料。</w:t>
            </w:r>
          </w:p>
        </w:tc>
      </w:tr>
      <w:tr w14:paraId="40F5B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shd w:val="clear" w:color="auto" w:fill="FFFFFF"/>
            <w:noWrap w:val="0"/>
            <w:vAlign w:val="center"/>
          </w:tcPr>
          <w:p w14:paraId="47C750BB">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4</w:t>
            </w:r>
          </w:p>
        </w:tc>
        <w:tc>
          <w:tcPr>
            <w:tcW w:w="2494" w:type="dxa"/>
            <w:shd w:val="clear" w:color="auto" w:fill="FFFFFF"/>
            <w:noWrap w:val="0"/>
            <w:vAlign w:val="center"/>
          </w:tcPr>
          <w:p w14:paraId="50A7E3DC">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color w:val="000000"/>
                <w:szCs w:val="21"/>
              </w:rPr>
              <w:t>有依法缴纳税收和社会保障资金的良好记录</w:t>
            </w:r>
          </w:p>
        </w:tc>
        <w:tc>
          <w:tcPr>
            <w:tcW w:w="4695" w:type="dxa"/>
            <w:shd w:val="clear" w:color="auto" w:fill="FFFFFF"/>
            <w:noWrap w:val="0"/>
            <w:vAlign w:val="center"/>
          </w:tcPr>
          <w:p w14:paraId="30B987E0">
            <w:pPr>
              <w:spacing w:line="360" w:lineRule="auto"/>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（1）供应商提供递交响应文件截止日期之前12个月内任意连续三个月的缴纳税收的证明，零申报或依法免税的公司须提供相应文件证明，新成立不足三个月的公司按实际缴纳情况提供。</w:t>
            </w:r>
          </w:p>
          <w:p w14:paraId="26DDF51C">
            <w:pPr>
              <w:spacing w:line="360" w:lineRule="auto"/>
              <w:rPr>
                <w:rFonts w:ascii="方正仿宋_GBK" w:hAnsi="方正仿宋_GBK" w:eastAsia="方正仿宋_GBK" w:cs="方正仿宋_GBK"/>
                <w:bCs/>
                <w:szCs w:val="21"/>
              </w:rPr>
            </w:pPr>
            <w:r>
              <w:rPr>
                <w:rFonts w:hint="eastAsia" w:ascii="方正仿宋_GBK" w:hAnsi="方正仿宋_GBK" w:eastAsia="方正仿宋_GBK" w:cs="方正仿宋_GBK"/>
                <w:color w:val="000000"/>
                <w:szCs w:val="21"/>
              </w:rPr>
              <w:t>（2）供应商提供递交响应文件截止日期之前12个月内任意连续三个月的缴纳社保的证明，新成立不足三个月的公司按实际缴纳情况提供，不需要缴纳社会保障资金的公司须提供相应文件证明其不需要缴纳社会保障资金。</w:t>
            </w:r>
          </w:p>
        </w:tc>
      </w:tr>
      <w:tr w14:paraId="16404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shd w:val="clear" w:color="auto" w:fill="FFFFFF"/>
            <w:noWrap w:val="0"/>
            <w:vAlign w:val="center"/>
          </w:tcPr>
          <w:p w14:paraId="75EC134A">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5</w:t>
            </w:r>
          </w:p>
        </w:tc>
        <w:tc>
          <w:tcPr>
            <w:tcW w:w="2494" w:type="dxa"/>
            <w:shd w:val="clear" w:color="auto" w:fill="FFFFFF"/>
            <w:noWrap w:val="0"/>
            <w:vAlign w:val="center"/>
          </w:tcPr>
          <w:p w14:paraId="505647A7">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参加本次政府采购活动前三年内，在经营活动中没有重大违法记录</w:t>
            </w:r>
          </w:p>
        </w:tc>
        <w:tc>
          <w:tcPr>
            <w:tcW w:w="4695" w:type="dxa"/>
            <w:shd w:val="clear" w:color="auto" w:fill="FFFFFF"/>
            <w:noWrap w:val="0"/>
            <w:vAlign w:val="center"/>
          </w:tcPr>
          <w:p w14:paraId="02968F86">
            <w:pPr>
              <w:spacing w:line="520" w:lineRule="exact"/>
              <w:jc w:val="left"/>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提供承诺函。</w:t>
            </w:r>
          </w:p>
        </w:tc>
      </w:tr>
      <w:tr w14:paraId="1807F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shd w:val="clear" w:color="auto" w:fill="FFFFFF"/>
            <w:noWrap w:val="0"/>
            <w:vAlign w:val="center"/>
          </w:tcPr>
          <w:p w14:paraId="20AC0B47">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6</w:t>
            </w:r>
          </w:p>
        </w:tc>
        <w:tc>
          <w:tcPr>
            <w:tcW w:w="2494" w:type="dxa"/>
            <w:shd w:val="clear" w:color="auto" w:fill="FFFFFF"/>
            <w:noWrap w:val="0"/>
            <w:vAlign w:val="center"/>
          </w:tcPr>
          <w:p w14:paraId="15742109">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法律、行政法规规定的其他条件</w:t>
            </w:r>
          </w:p>
        </w:tc>
        <w:tc>
          <w:tcPr>
            <w:tcW w:w="4695" w:type="dxa"/>
            <w:shd w:val="clear" w:color="auto" w:fill="FFFFFF"/>
            <w:noWrap w:val="0"/>
            <w:vAlign w:val="center"/>
          </w:tcPr>
          <w:p w14:paraId="4BC3BE94">
            <w:pPr>
              <w:spacing w:line="520" w:lineRule="exact"/>
              <w:jc w:val="left"/>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无。</w:t>
            </w:r>
          </w:p>
        </w:tc>
      </w:tr>
      <w:tr w14:paraId="464DD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shd w:val="clear" w:color="auto" w:fill="FFFFFF"/>
            <w:noWrap w:val="0"/>
            <w:vAlign w:val="center"/>
          </w:tcPr>
          <w:p w14:paraId="3975C1A3">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color w:val="000000"/>
                <w:szCs w:val="21"/>
              </w:rPr>
              <w:t>7</w:t>
            </w:r>
          </w:p>
        </w:tc>
        <w:tc>
          <w:tcPr>
            <w:tcW w:w="2494" w:type="dxa"/>
            <w:shd w:val="clear" w:color="auto" w:fill="FFFFFF"/>
            <w:noWrap w:val="0"/>
            <w:vAlign w:val="center"/>
          </w:tcPr>
          <w:p w14:paraId="7C87DDD2">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属于专门面向中小企业采购的项目,供应商应为中小微企业、监狱企业、残疾人福利性单位（本项目专门面向中小企业时适用）</w:t>
            </w:r>
          </w:p>
        </w:tc>
        <w:tc>
          <w:tcPr>
            <w:tcW w:w="4695" w:type="dxa"/>
            <w:shd w:val="clear" w:color="auto" w:fill="FFFFFF"/>
            <w:noWrap w:val="0"/>
            <w:vAlign w:val="center"/>
          </w:tcPr>
          <w:p w14:paraId="6C5699B5">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提供《中小微企业（监狱企业）声明函》或《残疾人福利性单位声明函》扫描件。</w:t>
            </w:r>
          </w:p>
        </w:tc>
      </w:tr>
      <w:tr w14:paraId="02B8A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shd w:val="clear" w:color="auto" w:fill="FFFFFF"/>
            <w:noWrap w:val="0"/>
            <w:vAlign w:val="center"/>
          </w:tcPr>
          <w:p w14:paraId="00AA6429">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color w:val="000000"/>
                <w:szCs w:val="21"/>
              </w:rPr>
              <w:t>8</w:t>
            </w:r>
          </w:p>
        </w:tc>
        <w:tc>
          <w:tcPr>
            <w:tcW w:w="2494" w:type="dxa"/>
            <w:shd w:val="clear" w:color="auto" w:fill="FFFFFF"/>
            <w:noWrap w:val="0"/>
            <w:vAlign w:val="center"/>
          </w:tcPr>
          <w:p w14:paraId="01DBF809">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color w:val="000000"/>
                <w:szCs w:val="21"/>
              </w:rPr>
              <w:t>采购项目的特殊要求</w:t>
            </w:r>
          </w:p>
        </w:tc>
        <w:tc>
          <w:tcPr>
            <w:tcW w:w="4695" w:type="dxa"/>
            <w:shd w:val="clear" w:color="auto" w:fill="FFFFFF"/>
            <w:noWrap w:val="0"/>
            <w:vAlign w:val="center"/>
          </w:tcPr>
          <w:p w14:paraId="46AB567B">
            <w:pPr>
              <w:spacing w:line="520" w:lineRule="exact"/>
              <w:jc w:val="left"/>
              <w:rPr>
                <w:rFonts w:hint="default" w:ascii="方正仿宋_GBK" w:hAnsi="方正仿宋_GBK" w:eastAsia="方正仿宋_GBK" w:cs="方正仿宋_GBK"/>
                <w:bCs/>
                <w:szCs w:val="21"/>
                <w:lang w:val="en-US" w:eastAsia="zh-CN"/>
              </w:rPr>
            </w:pPr>
            <w:r>
              <w:rPr>
                <w:rFonts w:hint="eastAsia" w:ascii="方正仿宋_GBK" w:hAnsi="方正仿宋_GBK" w:eastAsia="方正仿宋_GBK" w:cs="方正仿宋_GBK"/>
                <w:bCs/>
                <w:szCs w:val="21"/>
                <w:lang w:val="en-US" w:eastAsia="zh-CN"/>
              </w:rPr>
              <w:t>无</w:t>
            </w:r>
          </w:p>
        </w:tc>
      </w:tr>
    </w:tbl>
    <w:p w14:paraId="5241D7D0">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4.2、技术、服务响应部分</w:t>
      </w:r>
    </w:p>
    <w:p w14:paraId="07C9BD81">
      <w:pPr>
        <w:numPr>
          <w:ilvl w:val="0"/>
          <w:numId w:val="4"/>
        </w:num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投标函；</w:t>
      </w:r>
    </w:p>
    <w:p w14:paraId="3F6467FD">
      <w:pPr>
        <w:numPr>
          <w:ilvl w:val="0"/>
          <w:numId w:val="4"/>
        </w:num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承诺函；</w:t>
      </w:r>
    </w:p>
    <w:p w14:paraId="28F2F01E">
      <w:pPr>
        <w:numPr>
          <w:ilvl w:val="0"/>
          <w:numId w:val="4"/>
        </w:num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首轮报价表；</w:t>
      </w:r>
    </w:p>
    <w:p w14:paraId="26EE9360">
      <w:pPr>
        <w:numPr>
          <w:ilvl w:val="0"/>
          <w:numId w:val="4"/>
        </w:num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技术、服务要求响应表；</w:t>
      </w:r>
    </w:p>
    <w:p w14:paraId="761E9F8F">
      <w:pPr>
        <w:numPr>
          <w:ilvl w:val="0"/>
          <w:numId w:val="4"/>
        </w:num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商务应答表；</w:t>
      </w:r>
    </w:p>
    <w:p w14:paraId="4C72D9F9">
      <w:pPr>
        <w:numPr>
          <w:ilvl w:val="0"/>
          <w:numId w:val="4"/>
        </w:num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技术服务方案、项目实施方案</w:t>
      </w:r>
      <w:r>
        <w:rPr>
          <w:rFonts w:hint="eastAsia" w:ascii="方正仿宋_GBK" w:hAnsi="方正仿宋_GBK" w:eastAsia="方正仿宋_GBK" w:cs="方正仿宋_GBK"/>
          <w:sz w:val="28"/>
          <w:szCs w:val="28"/>
          <w:lang w:eastAsia="zh-CN"/>
        </w:rPr>
        <w:t>；</w:t>
      </w:r>
    </w:p>
    <w:p w14:paraId="58740967">
      <w:pPr>
        <w:numPr>
          <w:ilvl w:val="0"/>
          <w:numId w:val="4"/>
        </w:num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售后服务相关材料</w:t>
      </w:r>
      <w:r>
        <w:rPr>
          <w:rFonts w:hint="eastAsia" w:ascii="方正仿宋_GBK" w:hAnsi="方正仿宋_GBK" w:eastAsia="方正仿宋_GBK" w:cs="方正仿宋_GBK"/>
          <w:sz w:val="28"/>
          <w:szCs w:val="28"/>
          <w:lang w:eastAsia="zh-CN"/>
        </w:rPr>
        <w:t>；</w:t>
      </w:r>
    </w:p>
    <w:p w14:paraId="0CF0BA67">
      <w:pPr>
        <w:numPr>
          <w:ilvl w:val="0"/>
          <w:numId w:val="4"/>
        </w:num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知识产权声明函；</w:t>
      </w:r>
    </w:p>
    <w:p w14:paraId="6ADCD5EE">
      <w:pPr>
        <w:numPr>
          <w:ilvl w:val="0"/>
          <w:numId w:val="4"/>
        </w:numPr>
        <w:spacing w:line="360" w:lineRule="auto"/>
        <w:rPr>
          <w:rFonts w:ascii="方正仿宋_GBK" w:hAnsi="方正仿宋_GBK" w:eastAsia="方正仿宋_GBK" w:cs="方正仿宋_GBK"/>
          <w:spacing w:val="-3"/>
          <w:sz w:val="28"/>
          <w:szCs w:val="28"/>
        </w:rPr>
      </w:pPr>
      <w:r>
        <w:rPr>
          <w:rFonts w:hint="eastAsia" w:ascii="方正仿宋_GBK" w:hAnsi="方正仿宋_GBK" w:eastAsia="方正仿宋_GBK" w:cs="方正仿宋_GBK"/>
          <w:sz w:val="28"/>
          <w:szCs w:val="28"/>
        </w:rPr>
        <w:t>其他本项目涉及的材料及供应商认为应提交的相关材料。</w:t>
      </w:r>
    </w:p>
    <w:p w14:paraId="2A872D14">
      <w:pPr>
        <w:spacing w:line="600" w:lineRule="exact"/>
        <w:ind w:firstLine="562"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4.3报价单（）轮</w:t>
      </w:r>
      <w:r>
        <w:rPr>
          <w:rFonts w:hint="eastAsia" w:ascii="方正仿宋_GBK" w:hAnsi="方正仿宋_GBK" w:eastAsia="方正仿宋_GBK" w:cs="方正仿宋_GBK"/>
          <w:sz w:val="28"/>
          <w:szCs w:val="28"/>
        </w:rPr>
        <w:t>：不制作于响应文件中，单独密封。磋商结束后递交（自行准备密封袋）。</w:t>
      </w:r>
    </w:p>
    <w:p w14:paraId="54FB1DB3">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1、供应商应准备响应文件正本1份、副本2份；“报价单（）轮”份数以现场磋商情况为准。所有响应文件须注明项目编号、项目名称和供应商名称以及“正本”或“副本”字样。若正本和副本有不一致的内容，以正本书面响应文件为准。</w:t>
      </w:r>
    </w:p>
    <w:p w14:paraId="2FB4652D">
      <w:pPr>
        <w:spacing w:line="360" w:lineRule="auto"/>
        <w:ind w:firstLine="1120" w:firstLineChars="4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2、响应文件、“报价单（）轮”应分别单独包装、密封和标注（正副本应密封在一个密封袋内）。</w:t>
      </w:r>
    </w:p>
    <w:p w14:paraId="252BA74D">
      <w:pPr>
        <w:spacing w:line="360" w:lineRule="auto"/>
        <w:ind w:firstLine="1120" w:firstLineChars="4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3、密封袋的最外层应清楚地标明项目名称、项目编号、供应商名称（“报价单（）轮”可不在最外层做标记）。</w:t>
      </w:r>
    </w:p>
    <w:p w14:paraId="70EB083A">
      <w:pPr>
        <w:spacing w:line="360" w:lineRule="auto"/>
        <w:ind w:firstLine="1120" w:firstLineChars="4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4、所有外层密封袋的封口处应粘贴牢固。</w:t>
      </w:r>
    </w:p>
    <w:p w14:paraId="62B357A7">
      <w:pPr>
        <w:pStyle w:val="3"/>
        <w:spacing w:line="600" w:lineRule="exact"/>
        <w:rPr>
          <w:rFonts w:ascii="方正仿宋_GBK" w:hAnsi="方正仿宋_GBK"/>
          <w:kern w:val="2"/>
          <w:sz w:val="28"/>
          <w:szCs w:val="28"/>
        </w:rPr>
      </w:pPr>
      <w:bookmarkStart w:id="14" w:name="_Toc30731"/>
      <w:bookmarkStart w:id="15" w:name="_Toc1238"/>
      <w:bookmarkStart w:id="16" w:name="_Toc28295"/>
      <w:r>
        <w:rPr>
          <w:rFonts w:hint="eastAsia" w:ascii="方正仿宋_GBK" w:hAnsi="方正仿宋_GBK"/>
          <w:sz w:val="28"/>
          <w:szCs w:val="28"/>
          <w:lang w:eastAsia="zh-CN"/>
        </w:rPr>
        <w:t>五</w:t>
      </w:r>
      <w:r>
        <w:rPr>
          <w:rFonts w:hint="eastAsia" w:ascii="方正仿宋_GBK" w:hAnsi="方正仿宋_GBK"/>
          <w:sz w:val="28"/>
          <w:szCs w:val="28"/>
        </w:rPr>
        <w:t>、响应文件格式</w:t>
      </w:r>
      <w:bookmarkEnd w:id="14"/>
      <w:bookmarkEnd w:id="15"/>
      <w:bookmarkEnd w:id="16"/>
    </w:p>
    <w:p w14:paraId="2EB8FAC9">
      <w:pPr>
        <w:pStyle w:val="7"/>
        <w:spacing w:line="60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一、本章所制响应文件格式，除格式中明确将该格式作为实质性要求的，一律不具有强制性。</w:t>
      </w:r>
    </w:p>
    <w:p w14:paraId="4FF78029">
      <w:pPr>
        <w:pStyle w:val="7"/>
        <w:spacing w:line="60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二、本章所制响应文件格式有关表格中的备注栏，由供应商根据自身响应情况作解释性说明，不作为必填项。</w:t>
      </w:r>
    </w:p>
    <w:p w14:paraId="75359371">
      <w:pPr>
        <w:pStyle w:val="7"/>
        <w:spacing w:line="600" w:lineRule="exact"/>
        <w:ind w:firstLine="56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三、本章所制响应文件格式中需要填写的相关内容事项，可能会与本采购项目无关，在不改变响应文件原义、不影响本项目采购需求的情况下，供应商可以不予填写，但应当注明。</w:t>
      </w:r>
    </w:p>
    <w:p w14:paraId="52D9CEB4">
      <w:pPr>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注：1、“供应商代表”系指供应商是自然人时的自然人本人，供应商是法人或其他组织时的法定代表人或其授权代表。</w:t>
      </w:r>
    </w:p>
    <w:p w14:paraId="748D226B">
      <w:pPr>
        <w:spacing w:line="600" w:lineRule="exact"/>
        <w:ind w:firstLine="1120" w:firstLineChars="4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2、供应商递交的响应文件应在要求签字的地方签字，要求加盖公章的地方加盖单位公章，不得使用专用章（如经济合同章、投标专用章等）或下属单位印章代替。</w:t>
      </w:r>
    </w:p>
    <w:p w14:paraId="5BE41F90">
      <w:pPr>
        <w:spacing w:line="600" w:lineRule="exact"/>
        <w:ind w:firstLine="1120" w:firstLineChars="4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3、响应文件正本和副本需要逐页编目编码并逐页加盖公章。（正本所盖公章应为鲜章）</w:t>
      </w:r>
    </w:p>
    <w:p w14:paraId="4A199A3A">
      <w:pPr>
        <w:spacing w:line="600" w:lineRule="exact"/>
        <w:ind w:firstLine="1120" w:firstLineChars="400"/>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sz w:val="28"/>
          <w:szCs w:val="28"/>
        </w:rPr>
        <w:t>4、响应文件正本和副本应当采用胶装方式装订成册，不得散装或者合页装订。</w:t>
      </w:r>
      <w:r>
        <w:rPr>
          <w:rFonts w:hint="eastAsia" w:ascii="方正仿宋_GBK" w:hAnsi="方正仿宋_GBK" w:eastAsia="方正仿宋_GBK" w:cs="方正仿宋_GBK"/>
          <w:b/>
          <w:bCs/>
          <w:sz w:val="28"/>
          <w:szCs w:val="28"/>
        </w:rPr>
        <w:br w:type="page"/>
      </w:r>
    </w:p>
    <w:p w14:paraId="6D2B2040">
      <w:pPr>
        <w:jc w:val="right"/>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（正本/副本）</w:t>
      </w:r>
    </w:p>
    <w:p w14:paraId="6A8710DF">
      <w:pPr>
        <w:spacing w:line="460" w:lineRule="exact"/>
        <w:ind w:right="630"/>
        <w:jc w:val="right"/>
        <w:rPr>
          <w:rFonts w:ascii="方正仿宋_GBK" w:hAnsi="方正仿宋_GBK" w:eastAsia="方正仿宋_GBK" w:cs="方正仿宋_GBK"/>
          <w:b/>
          <w:w w:val="105"/>
          <w:sz w:val="28"/>
          <w:szCs w:val="28"/>
        </w:rPr>
      </w:pPr>
    </w:p>
    <w:p w14:paraId="37BAEFF2">
      <w:pPr>
        <w:spacing w:line="460" w:lineRule="exact"/>
        <w:ind w:right="630"/>
        <w:jc w:val="right"/>
        <w:rPr>
          <w:rFonts w:ascii="方正仿宋_GBK" w:hAnsi="方正仿宋_GBK" w:eastAsia="方正仿宋_GBK" w:cs="方正仿宋_GBK"/>
          <w:b/>
          <w:sz w:val="28"/>
          <w:szCs w:val="28"/>
        </w:rPr>
      </w:pPr>
    </w:p>
    <w:p w14:paraId="346AF2F9">
      <w:pPr>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项目名称：</w:t>
      </w:r>
    </w:p>
    <w:p w14:paraId="75F839FD">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项目编号：</w:t>
      </w:r>
    </w:p>
    <w:p w14:paraId="05CE7688">
      <w:pPr>
        <w:pStyle w:val="7"/>
        <w:rPr>
          <w:rFonts w:ascii="方正仿宋_GBK" w:hAnsi="方正仿宋_GBK" w:eastAsia="方正仿宋_GBK" w:cs="方正仿宋_GBK"/>
          <w:sz w:val="28"/>
          <w:szCs w:val="28"/>
        </w:rPr>
      </w:pPr>
    </w:p>
    <w:p w14:paraId="7641E140">
      <w:pPr>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响应文件</w:t>
      </w:r>
    </w:p>
    <w:p w14:paraId="6ED09BE1">
      <w:pPr>
        <w:jc w:val="center"/>
        <w:rPr>
          <w:rFonts w:ascii="方正仿宋_GBK" w:hAnsi="方正仿宋_GBK" w:eastAsia="方正仿宋_GBK" w:cs="方正仿宋_GBK"/>
          <w:sz w:val="28"/>
          <w:szCs w:val="28"/>
        </w:rPr>
      </w:pPr>
    </w:p>
    <w:p w14:paraId="62D8E18C">
      <w:pPr>
        <w:rPr>
          <w:rFonts w:ascii="方正仿宋_GBK" w:hAnsi="方正仿宋_GBK" w:eastAsia="方正仿宋_GBK" w:cs="方正仿宋_GBK"/>
          <w:sz w:val="28"/>
          <w:szCs w:val="28"/>
        </w:rPr>
      </w:pPr>
    </w:p>
    <w:p w14:paraId="14BD0061">
      <w:pPr>
        <w:rPr>
          <w:rFonts w:ascii="方正仿宋_GBK" w:hAnsi="方正仿宋_GBK" w:eastAsia="方正仿宋_GBK" w:cs="方正仿宋_GBK"/>
          <w:sz w:val="28"/>
          <w:szCs w:val="28"/>
        </w:rPr>
      </w:pPr>
    </w:p>
    <w:p w14:paraId="08B02851">
      <w:pPr>
        <w:rPr>
          <w:rFonts w:ascii="方正仿宋_GBK" w:hAnsi="方正仿宋_GBK" w:eastAsia="方正仿宋_GBK" w:cs="方正仿宋_GBK"/>
          <w:sz w:val="28"/>
          <w:szCs w:val="28"/>
        </w:rPr>
      </w:pPr>
    </w:p>
    <w:p w14:paraId="1B263A83">
      <w:pPr>
        <w:rPr>
          <w:rFonts w:ascii="方正仿宋_GBK" w:hAnsi="方正仿宋_GBK" w:eastAsia="方正仿宋_GBK" w:cs="方正仿宋_GBK"/>
          <w:sz w:val="28"/>
          <w:szCs w:val="28"/>
        </w:rPr>
      </w:pPr>
    </w:p>
    <w:p w14:paraId="0FD2260E">
      <w:pPr>
        <w:rPr>
          <w:rFonts w:ascii="方正仿宋_GBK" w:hAnsi="方正仿宋_GBK" w:eastAsia="方正仿宋_GBK" w:cs="方正仿宋_GBK"/>
          <w:sz w:val="28"/>
          <w:szCs w:val="28"/>
        </w:rPr>
      </w:pPr>
    </w:p>
    <w:p w14:paraId="37711239">
      <w:pPr>
        <w:rPr>
          <w:rFonts w:ascii="方正仿宋_GBK" w:hAnsi="方正仿宋_GBK" w:eastAsia="方正仿宋_GBK" w:cs="方正仿宋_GBK"/>
          <w:sz w:val="28"/>
          <w:szCs w:val="28"/>
        </w:rPr>
      </w:pPr>
    </w:p>
    <w:p w14:paraId="6B3DFD73">
      <w:pPr>
        <w:rPr>
          <w:rFonts w:ascii="方正仿宋_GBK" w:hAnsi="方正仿宋_GBK" w:eastAsia="方正仿宋_GBK" w:cs="方正仿宋_GBK"/>
          <w:sz w:val="28"/>
          <w:szCs w:val="28"/>
        </w:rPr>
      </w:pPr>
    </w:p>
    <w:p w14:paraId="7331BC35">
      <w:pPr>
        <w:spacing w:line="560" w:lineRule="exac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b/>
          <w:bCs/>
          <w:kern w:val="0"/>
          <w:sz w:val="28"/>
          <w:szCs w:val="28"/>
        </w:rPr>
        <w:t>（加盖供应商公章）</w:t>
      </w:r>
    </w:p>
    <w:p w14:paraId="1AD1F53B">
      <w:pPr>
        <w:spacing w:line="560" w:lineRule="exac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sz w:val="28"/>
          <w:szCs w:val="28"/>
        </w:rPr>
        <w:t>供应商代表（签字）</w:t>
      </w:r>
      <w:r>
        <w:rPr>
          <w:rFonts w:hint="eastAsia" w:ascii="方正仿宋_GBK" w:hAnsi="方正仿宋_GBK" w:eastAsia="方正仿宋_GBK" w:cs="方正仿宋_GBK"/>
          <w:b/>
          <w:bCs/>
          <w:kern w:val="0"/>
          <w:sz w:val="28"/>
          <w:szCs w:val="28"/>
        </w:rPr>
        <w:t>：</w:t>
      </w:r>
    </w:p>
    <w:p w14:paraId="79594311">
      <w:pPr>
        <w:spacing w:line="560" w:lineRule="exac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日期：</w:t>
      </w:r>
    </w:p>
    <w:p w14:paraId="268C02EA">
      <w:pPr>
        <w:spacing w:line="360" w:lineRule="auto"/>
        <w:rPr>
          <w:rFonts w:ascii="方正仿宋_GBK" w:hAnsi="方正仿宋_GBK" w:eastAsia="方正仿宋_GBK" w:cs="方正仿宋_GBK"/>
          <w:b/>
          <w:bCs/>
          <w:sz w:val="28"/>
          <w:szCs w:val="28"/>
        </w:rPr>
      </w:pPr>
    </w:p>
    <w:p w14:paraId="7581BBE7">
      <w:pPr>
        <w:rPr>
          <w:rFonts w:ascii="方正仿宋_GBK" w:hAnsi="方正仿宋_GBK" w:eastAsia="方正仿宋_GBK" w:cs="方正仿宋_GBK"/>
          <w:sz w:val="28"/>
          <w:szCs w:val="28"/>
        </w:rPr>
      </w:pPr>
    </w:p>
    <w:p w14:paraId="74464A91">
      <w:pPr>
        <w:ind w:left="243"/>
        <w:jc w:val="center"/>
        <w:rPr>
          <w:rFonts w:ascii="方正仿宋_GBK" w:hAnsi="方正仿宋_GBK" w:eastAsia="方正仿宋_GBK" w:cs="方正仿宋_GBK"/>
          <w:b/>
          <w:sz w:val="28"/>
          <w:szCs w:val="28"/>
        </w:rPr>
      </w:pPr>
    </w:p>
    <w:p w14:paraId="462ED18E">
      <w:pPr>
        <w:widowControl/>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br w:type="page"/>
      </w:r>
    </w:p>
    <w:p w14:paraId="5F701950">
      <w:pPr>
        <w:pStyle w:val="4"/>
        <w:jc w:val="center"/>
      </w:pPr>
      <w:bookmarkStart w:id="17" w:name="_Toc15220"/>
      <w:r>
        <w:rPr>
          <w:rFonts w:hint="eastAsia"/>
        </w:rPr>
        <w:t>法定代表人/负责人身份证明书</w:t>
      </w:r>
      <w:bookmarkEnd w:id="17"/>
    </w:p>
    <w:p w14:paraId="562AE943">
      <w:pPr>
        <w:rPr>
          <w:rFonts w:ascii="方正仿宋_GBK" w:hAnsi="方正仿宋_GBK" w:eastAsia="方正仿宋_GBK" w:cs="方正仿宋_GBK"/>
          <w:sz w:val="28"/>
          <w:szCs w:val="28"/>
        </w:rPr>
      </w:pPr>
    </w:p>
    <w:p w14:paraId="705A5E23">
      <w:pPr>
        <w:spacing w:line="360" w:lineRule="auto"/>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四川振嘉工程招标代理有限公司：</w:t>
      </w:r>
    </w:p>
    <w:p w14:paraId="68AB8D2F">
      <w:pPr>
        <w:spacing w:line="360" w:lineRule="auto"/>
        <w:ind w:firstLine="560" w:firstLineChars="200"/>
        <w:rPr>
          <w:rFonts w:ascii="方正仿宋_GBK" w:hAnsi="方正仿宋_GBK" w:eastAsia="方正仿宋_GBK" w:cs="方正仿宋_GBK"/>
          <w:b/>
          <w:sz w:val="28"/>
          <w:szCs w:val="28"/>
          <w:u w:val="single"/>
        </w:rPr>
      </w:pP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bCs/>
          <w:sz w:val="28"/>
          <w:szCs w:val="28"/>
        </w:rPr>
        <w:t>法定代表人/负责人</w:t>
      </w:r>
      <w:r>
        <w:rPr>
          <w:rFonts w:hint="eastAsia" w:ascii="方正仿宋_GBK" w:hAnsi="方正仿宋_GBK" w:eastAsia="方正仿宋_GBK" w:cs="方正仿宋_GBK"/>
          <w:sz w:val="28"/>
          <w:szCs w:val="28"/>
        </w:rPr>
        <w:t>姓名）在</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（供应商名称）任</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（职务名称）职务，是</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（供应商名称）的</w:t>
      </w:r>
      <w:r>
        <w:rPr>
          <w:rFonts w:hint="eastAsia" w:ascii="方正仿宋_GBK" w:hAnsi="方正仿宋_GBK" w:eastAsia="方正仿宋_GBK" w:cs="方正仿宋_GBK"/>
          <w:bCs/>
          <w:sz w:val="28"/>
          <w:szCs w:val="28"/>
        </w:rPr>
        <w:t>法定代表人/负责人</w:t>
      </w:r>
      <w:r>
        <w:rPr>
          <w:rFonts w:hint="eastAsia" w:ascii="方正仿宋_GBK" w:hAnsi="方正仿宋_GBK" w:eastAsia="方正仿宋_GBK" w:cs="方正仿宋_GBK"/>
          <w:sz w:val="28"/>
          <w:szCs w:val="28"/>
        </w:rPr>
        <w:t>。</w:t>
      </w:r>
    </w:p>
    <w:p w14:paraId="53C38462">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特此证明。</w:t>
      </w:r>
    </w:p>
    <w:p w14:paraId="0576B87F">
      <w:pPr>
        <w:rPr>
          <w:rFonts w:ascii="方正仿宋_GBK" w:hAnsi="方正仿宋_GBK" w:eastAsia="方正仿宋_GBK" w:cs="方正仿宋_GBK"/>
          <w:sz w:val="28"/>
          <w:szCs w:val="28"/>
        </w:rPr>
      </w:pPr>
    </w:p>
    <w:p w14:paraId="3C4D89EA">
      <w:pPr>
        <w:pStyle w:val="7"/>
        <w:rPr>
          <w:rFonts w:ascii="方正仿宋_GBK" w:hAnsi="方正仿宋_GBK" w:eastAsia="方正仿宋_GBK" w:cs="方正仿宋_GBK"/>
          <w:sz w:val="28"/>
          <w:szCs w:val="28"/>
        </w:rPr>
      </w:pPr>
    </w:p>
    <w:p w14:paraId="2183A9DD">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（加盖供应商公章）</w:t>
      </w:r>
    </w:p>
    <w:p w14:paraId="76690503">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日期：</w:t>
      </w:r>
      <w:r>
        <w:rPr>
          <w:rFonts w:hint="eastAsia" w:ascii="方正仿宋_GBK" w:hAnsi="方正仿宋_GBK" w:eastAsia="方正仿宋_GBK" w:cs="方正仿宋_GBK"/>
          <w:sz w:val="28"/>
          <w:szCs w:val="28"/>
        </w:rPr>
        <w:t xml:space="preserve">        </w:t>
      </w:r>
    </w:p>
    <w:p w14:paraId="467E6BF7">
      <w:pPr>
        <w:rPr>
          <w:rFonts w:ascii="方正仿宋_GBK" w:hAnsi="方正仿宋_GBK" w:eastAsia="方正仿宋_GBK" w:cs="方正仿宋_GBK"/>
          <w:sz w:val="28"/>
          <w:szCs w:val="28"/>
        </w:rPr>
      </w:pPr>
    </w:p>
    <w:p w14:paraId="459567A5">
      <w:pPr>
        <w:pStyle w:val="7"/>
        <w:rPr>
          <w:rFonts w:ascii="方正仿宋_GBK" w:hAnsi="方正仿宋_GBK" w:eastAsia="方正仿宋_GBK" w:cs="方正仿宋_GBK"/>
          <w:sz w:val="28"/>
          <w:szCs w:val="28"/>
        </w:rPr>
      </w:pPr>
    </w:p>
    <w:p w14:paraId="45290B23">
      <w:pPr>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附件：</w:t>
      </w:r>
      <w:r>
        <w:rPr>
          <w:rFonts w:hint="eastAsia" w:ascii="方正仿宋_GBK" w:hAnsi="方正仿宋_GBK" w:eastAsia="方正仿宋_GBK" w:cs="方正仿宋_GBK"/>
          <w:b/>
          <w:bCs/>
          <w:sz w:val="28"/>
          <w:szCs w:val="28"/>
        </w:rPr>
        <w:t>法定代表人/负责人</w:t>
      </w:r>
      <w:r>
        <w:rPr>
          <w:rFonts w:hint="eastAsia" w:ascii="方正仿宋_GBK" w:hAnsi="方正仿宋_GBK" w:eastAsia="方正仿宋_GBK" w:cs="方正仿宋_GBK"/>
          <w:b/>
          <w:sz w:val="28"/>
          <w:szCs w:val="28"/>
        </w:rPr>
        <w:t>有效的身份证复印件（身份证两面均应复印）。供应商的</w:t>
      </w:r>
      <w:r>
        <w:rPr>
          <w:rFonts w:hint="eastAsia" w:ascii="方正仿宋_GBK" w:hAnsi="方正仿宋_GBK" w:eastAsia="方正仿宋_GBK" w:cs="方正仿宋_GBK"/>
          <w:b/>
          <w:bCs/>
          <w:sz w:val="28"/>
          <w:szCs w:val="28"/>
        </w:rPr>
        <w:t>法定代表人/负责人</w:t>
      </w:r>
      <w:r>
        <w:rPr>
          <w:rFonts w:hint="eastAsia" w:ascii="方正仿宋_GBK" w:hAnsi="方正仿宋_GBK" w:eastAsia="方正仿宋_GBK" w:cs="方正仿宋_GBK"/>
          <w:b/>
          <w:sz w:val="28"/>
          <w:szCs w:val="28"/>
        </w:rPr>
        <w:t>为外籍人士的，则需提供护照复印件。</w:t>
      </w:r>
    </w:p>
    <w:p w14:paraId="008A5E8E">
      <w:pPr>
        <w:pStyle w:val="7"/>
        <w:rPr>
          <w:rFonts w:ascii="方正仿宋_GBK" w:hAnsi="方正仿宋_GBK" w:eastAsia="方正仿宋_GBK" w:cs="方正仿宋_GBK"/>
          <w:b/>
          <w:bCs/>
          <w:sz w:val="28"/>
          <w:szCs w:val="28"/>
        </w:rPr>
      </w:pPr>
    </w:p>
    <w:p w14:paraId="708E58B1">
      <w:pPr>
        <w:pStyle w:val="4"/>
        <w:jc w:val="center"/>
        <w:sectPr>
          <w:pgSz w:w="11906" w:h="16838"/>
          <w:pgMar w:top="1440" w:right="1800" w:bottom="1440" w:left="1800" w:header="851" w:footer="992" w:gutter="0"/>
          <w:cols w:space="720" w:num="1"/>
          <w:docGrid w:type="lines" w:linePitch="312" w:charSpace="0"/>
        </w:sectPr>
      </w:pPr>
      <w:bookmarkStart w:id="18" w:name="_Toc111"/>
    </w:p>
    <w:p w14:paraId="1658B8EB">
      <w:pPr>
        <w:pStyle w:val="4"/>
        <w:jc w:val="center"/>
      </w:pPr>
      <w:r>
        <w:rPr>
          <w:rFonts w:hint="eastAsia"/>
        </w:rPr>
        <w:t>授权委托书</w:t>
      </w:r>
      <w:bookmarkEnd w:id="18"/>
    </w:p>
    <w:p w14:paraId="43D28EAB">
      <w:pPr>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致：四川振嘉工程招标代理有限公司</w:t>
      </w:r>
    </w:p>
    <w:p w14:paraId="67EA004A">
      <w:pPr>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本授权声明：</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（供应商名称）</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bCs/>
          <w:sz w:val="28"/>
          <w:szCs w:val="28"/>
        </w:rPr>
        <w:t>法定代表人/负责人</w:t>
      </w:r>
      <w:r>
        <w:rPr>
          <w:rFonts w:hint="eastAsia" w:ascii="方正仿宋_GBK" w:hAnsi="方正仿宋_GBK" w:eastAsia="方正仿宋_GBK" w:cs="方正仿宋_GBK"/>
          <w:kern w:val="0"/>
          <w:sz w:val="28"/>
          <w:szCs w:val="28"/>
        </w:rPr>
        <w:t>姓名、职务）授权</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（被授权人姓名、职务）为我方“</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”项目（项目编号：</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）竞争性磋商采购活动的合法代表，以我方名义全权处理该项目有关磋商、报价、签订合同以及执行合同等一切事宜。本公司均予以认可并对此承担责任。授权代表无转委托权。</w:t>
      </w:r>
    </w:p>
    <w:p w14:paraId="3A668836">
      <w:pPr>
        <w:spacing w:line="560" w:lineRule="exact"/>
        <w:rPr>
          <w:rFonts w:ascii="方正仿宋_GBK" w:hAnsi="方正仿宋_GBK" w:eastAsia="方正仿宋_GBK" w:cs="方正仿宋_GBK"/>
          <w:kern w:val="0"/>
          <w:sz w:val="28"/>
          <w:szCs w:val="28"/>
        </w:rPr>
      </w:pPr>
    </w:p>
    <w:p w14:paraId="7FE9476B">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特此授权！本授权书自出具之日起生效。</w:t>
      </w:r>
    </w:p>
    <w:p w14:paraId="66391153">
      <w:pPr>
        <w:pStyle w:val="7"/>
        <w:rPr>
          <w:rFonts w:ascii="方正仿宋_GBK" w:hAnsi="方正仿宋_GBK" w:eastAsia="方正仿宋_GBK" w:cs="方正仿宋_GBK"/>
          <w:sz w:val="28"/>
          <w:szCs w:val="28"/>
        </w:rPr>
      </w:pPr>
    </w:p>
    <w:p w14:paraId="367B3A9F">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（加盖供应商公章）</w:t>
      </w:r>
    </w:p>
    <w:p w14:paraId="7D6A8F1C">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法定代表人（签字）</w:t>
      </w:r>
      <w:r>
        <w:rPr>
          <w:rFonts w:hint="eastAsia" w:ascii="方正仿宋_GBK" w:hAnsi="方正仿宋_GBK" w:eastAsia="方正仿宋_GBK" w:cs="方正仿宋_GBK"/>
          <w:kern w:val="0"/>
          <w:sz w:val="28"/>
          <w:szCs w:val="28"/>
        </w:rPr>
        <w:t>：</w:t>
      </w:r>
    </w:p>
    <w:p w14:paraId="4A03B698">
      <w:pPr>
        <w:spacing w:line="560" w:lineRule="exact"/>
        <w:rPr>
          <w:rFonts w:ascii="方正仿宋_GBK" w:hAnsi="方正仿宋_GBK" w:eastAsia="方正仿宋_GBK" w:cs="方正仿宋_GBK"/>
          <w:kern w:val="0"/>
          <w:sz w:val="28"/>
          <w:szCs w:val="28"/>
          <w:u w:val="single"/>
        </w:rPr>
      </w:pPr>
      <w:r>
        <w:rPr>
          <w:rFonts w:hint="eastAsia" w:ascii="方正仿宋_GBK" w:hAnsi="方正仿宋_GBK" w:eastAsia="方正仿宋_GBK" w:cs="方正仿宋_GBK"/>
          <w:sz w:val="28"/>
          <w:szCs w:val="28"/>
        </w:rPr>
        <w:t>授权代表（签字）</w:t>
      </w:r>
      <w:r>
        <w:rPr>
          <w:rFonts w:hint="eastAsia" w:ascii="方正仿宋_GBK" w:hAnsi="方正仿宋_GBK" w:eastAsia="方正仿宋_GBK" w:cs="方正仿宋_GBK"/>
          <w:kern w:val="0"/>
          <w:sz w:val="28"/>
          <w:szCs w:val="28"/>
        </w:rPr>
        <w:t xml:space="preserve">： </w:t>
      </w:r>
      <w:r>
        <w:rPr>
          <w:rFonts w:hint="eastAsia" w:ascii="方正仿宋_GBK" w:hAnsi="方正仿宋_GBK" w:eastAsia="方正仿宋_GBK" w:cs="方正仿宋_GBK"/>
          <w:kern w:val="0"/>
          <w:sz w:val="28"/>
          <w:szCs w:val="28"/>
          <w:u w:val="single"/>
        </w:rPr>
        <w:t xml:space="preserve">    </w:t>
      </w:r>
    </w:p>
    <w:p w14:paraId="2004BBDE">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日期：</w:t>
      </w:r>
    </w:p>
    <w:p w14:paraId="238FDE40">
      <w:pPr>
        <w:rPr>
          <w:rFonts w:ascii="方正仿宋_GBK" w:hAnsi="方正仿宋_GBK" w:eastAsia="方正仿宋_GBK" w:cs="方正仿宋_GBK"/>
          <w:sz w:val="28"/>
          <w:szCs w:val="28"/>
        </w:rPr>
      </w:pPr>
    </w:p>
    <w:p w14:paraId="05C7AEB9">
      <w:pP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注：</w:t>
      </w:r>
      <w:bookmarkStart w:id="19" w:name="OLE_LINK9"/>
      <w:r>
        <w:rPr>
          <w:rFonts w:hint="eastAsia" w:ascii="方正仿宋_GBK" w:hAnsi="方正仿宋_GBK" w:eastAsia="方正仿宋_GBK" w:cs="方正仿宋_GBK"/>
          <w:b/>
          <w:bCs/>
          <w:sz w:val="28"/>
          <w:szCs w:val="28"/>
        </w:rPr>
        <w:t>（1）</w:t>
      </w:r>
      <w:bookmarkEnd w:id="19"/>
      <w:r>
        <w:rPr>
          <w:rFonts w:hint="eastAsia" w:ascii="方正仿宋_GBK" w:hAnsi="方正仿宋_GBK" w:eastAsia="方正仿宋_GBK" w:cs="方正仿宋_GBK"/>
          <w:b/>
          <w:bCs/>
          <w:sz w:val="28"/>
          <w:szCs w:val="28"/>
        </w:rPr>
        <w:t>法定代表人/负责人委托代理人投标适用。</w:t>
      </w:r>
    </w:p>
    <w:p w14:paraId="319C06D8">
      <w:pPr>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 xml:space="preserve">   （2）附授权代表身份证复印件（提供其在有效期的材料，居民身份证正、反面复印件）加盖供应商公章。</w:t>
      </w:r>
    </w:p>
    <w:p w14:paraId="2A6775EE">
      <w:pPr>
        <w:rPr>
          <w:rFonts w:ascii="方正仿宋_GBK" w:hAnsi="方正仿宋_GBK" w:eastAsia="方正仿宋_GBK" w:cs="方正仿宋_GBK"/>
          <w:sz w:val="28"/>
          <w:szCs w:val="28"/>
        </w:rPr>
      </w:pPr>
    </w:p>
    <w:p w14:paraId="5B83BFE2">
      <w:pPr>
        <w:pStyle w:val="7"/>
        <w:rPr>
          <w:rFonts w:ascii="方正仿宋_GBK" w:hAnsi="方正仿宋_GBK" w:eastAsia="方正仿宋_GBK" w:cs="方正仿宋_GBK"/>
          <w:sz w:val="28"/>
          <w:szCs w:val="28"/>
        </w:rPr>
      </w:pPr>
    </w:p>
    <w:p w14:paraId="420F782F">
      <w:pPr>
        <w:rPr>
          <w:rFonts w:ascii="方正仿宋_GBK" w:hAnsi="方正仿宋_GBK" w:eastAsia="方正仿宋_GBK" w:cs="方正仿宋_GBK"/>
          <w:sz w:val="28"/>
          <w:szCs w:val="28"/>
        </w:rPr>
      </w:pPr>
    </w:p>
    <w:p w14:paraId="2F25EBA7">
      <w:pPr>
        <w:pStyle w:val="7"/>
        <w:rPr>
          <w:rFonts w:ascii="方正仿宋_GBK" w:hAnsi="方正仿宋_GBK" w:eastAsia="方正仿宋_GBK" w:cs="方正仿宋_GBK"/>
          <w:sz w:val="28"/>
          <w:szCs w:val="28"/>
        </w:rPr>
      </w:pPr>
    </w:p>
    <w:p w14:paraId="4441CC32">
      <w:pPr>
        <w:spacing w:line="360" w:lineRule="auto"/>
        <w:jc w:val="center"/>
        <w:rPr>
          <w:rFonts w:ascii="方正仿宋_GBK" w:hAnsi="方正仿宋_GBK" w:eastAsia="方正仿宋_GBK" w:cs="方正仿宋_GBK"/>
          <w:b/>
          <w:bCs/>
          <w:sz w:val="28"/>
          <w:szCs w:val="28"/>
        </w:rPr>
        <w:sectPr>
          <w:footerReference r:id="rId5" w:type="default"/>
          <w:pgSz w:w="11906" w:h="16838"/>
          <w:pgMar w:top="1440" w:right="1800" w:bottom="1440" w:left="1800" w:header="851" w:footer="992" w:gutter="0"/>
          <w:cols w:space="720" w:num="1"/>
          <w:docGrid w:type="lines" w:linePitch="312" w:charSpace="0"/>
        </w:sectPr>
      </w:pPr>
    </w:p>
    <w:p w14:paraId="029D560C">
      <w:pPr>
        <w:pStyle w:val="4"/>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投标函</w:t>
      </w:r>
    </w:p>
    <w:p w14:paraId="38C14800">
      <w:pPr>
        <w:spacing w:line="360" w:lineRule="auto"/>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四川振嘉工程招标代理有限公司：</w:t>
      </w:r>
    </w:p>
    <w:p w14:paraId="6365AE6F">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1.我方全面研究了“</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”项目（项目编号：</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），决定参加贵单位组织的本项目磋商采购。</w:t>
      </w:r>
    </w:p>
    <w:p w14:paraId="103D631A">
      <w:pPr>
        <w:spacing w:line="360" w:lineRule="auto"/>
        <w:ind w:firstLine="560" w:firstLineChars="200"/>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2.我方自愿按照磋商文件规定的各项要求向采购人提供所需货物/服务/工程，</w:t>
      </w:r>
      <w:r>
        <w:rPr>
          <w:rFonts w:hint="eastAsia" w:ascii="方正仿宋_GBK" w:hAnsi="方正仿宋_GBK" w:eastAsia="方正仿宋_GBK" w:cs="方正仿宋_GBK"/>
          <w:kern w:val="0"/>
          <w:sz w:val="28"/>
          <w:szCs w:val="28"/>
        </w:rPr>
        <w:t>报价</w:t>
      </w:r>
      <w:r>
        <w:rPr>
          <w:rFonts w:hint="eastAsia" w:ascii="方正仿宋_GBK" w:hAnsi="方正仿宋_GBK" w:eastAsia="方正仿宋_GBK" w:cs="方正仿宋_GBK"/>
          <w:kern w:val="0"/>
          <w:sz w:val="28"/>
          <w:szCs w:val="28"/>
          <w:u w:val="single"/>
        </w:rPr>
        <w:t xml:space="preserve">        。</w:t>
      </w:r>
    </w:p>
    <w:p w14:paraId="33A37919">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3.一旦我方成交，我方将严格履行政府采购合同规定的责任和义务。</w:t>
      </w:r>
    </w:p>
    <w:p w14:paraId="66667869">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4.我方为本项目提交的响应文件正本</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份，副本</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份，用于磋商报价。</w:t>
      </w:r>
    </w:p>
    <w:p w14:paraId="3D4F8F9E">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5.我方愿意提供贵单位可能另外要求的，与磋商报价有关的文件资料，并保证我方已提供和将要提供的文件资料是真实、准确的。</w:t>
      </w:r>
    </w:p>
    <w:p w14:paraId="62B474FB">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6.本次磋商，我方递交的响应文件有效期为递交响应文件截止之日起算</w:t>
      </w:r>
      <w:r>
        <w:rPr>
          <w:rFonts w:hint="eastAsia" w:ascii="方正仿宋_GBK" w:hAnsi="方正仿宋_GBK" w:eastAsia="方正仿宋_GBK" w:cs="方正仿宋_GBK"/>
          <w:sz w:val="28"/>
          <w:szCs w:val="28"/>
          <w:u w:val="single"/>
        </w:rPr>
        <w:t>90</w:t>
      </w:r>
      <w:r>
        <w:rPr>
          <w:rFonts w:hint="eastAsia" w:ascii="方正仿宋_GBK" w:hAnsi="方正仿宋_GBK" w:eastAsia="方正仿宋_GBK" w:cs="方正仿宋_GBK"/>
          <w:sz w:val="28"/>
          <w:szCs w:val="28"/>
        </w:rPr>
        <w:t>天。</w:t>
      </w:r>
    </w:p>
    <w:p w14:paraId="785A5A7E">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7.如果我方成交，我方保证按照磋商文件的规定向贵方交纳成交服务费。</w:t>
      </w:r>
    </w:p>
    <w:p w14:paraId="4A9CACB6">
      <w:pPr>
        <w:spacing w:line="420" w:lineRule="exact"/>
        <w:ind w:firstLine="560" w:firstLineChars="200"/>
        <w:rPr>
          <w:rFonts w:ascii="方正仿宋_GBK" w:hAnsi="方正仿宋_GBK" w:eastAsia="方正仿宋_GBK" w:cs="方正仿宋_GBK"/>
          <w:sz w:val="28"/>
          <w:szCs w:val="28"/>
        </w:rPr>
      </w:pPr>
    </w:p>
    <w:p w14:paraId="06FFFD4F">
      <w:pPr>
        <w:spacing w:line="4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供应商名称：</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（加盖供应商公章）</w:t>
      </w:r>
    </w:p>
    <w:p w14:paraId="21AF6A31">
      <w:pPr>
        <w:spacing w:line="4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sz w:val="28"/>
          <w:szCs w:val="28"/>
          <w:u w:val="single"/>
        </w:rPr>
        <w:t xml:space="preserve">           </w:t>
      </w:r>
    </w:p>
    <w:p w14:paraId="0E211BB2">
      <w:pPr>
        <w:spacing w:line="4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通讯地址：</w:t>
      </w:r>
      <w:r>
        <w:rPr>
          <w:rFonts w:hint="eastAsia" w:ascii="方正仿宋_GBK" w:hAnsi="方正仿宋_GBK" w:eastAsia="方正仿宋_GBK" w:cs="方正仿宋_GBK"/>
          <w:sz w:val="28"/>
          <w:szCs w:val="28"/>
          <w:u w:val="single"/>
        </w:rPr>
        <w:t xml:space="preserve">         </w:t>
      </w:r>
    </w:p>
    <w:p w14:paraId="7E00BCF4">
      <w:pPr>
        <w:spacing w:line="4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邮政编码：</w:t>
      </w:r>
      <w:r>
        <w:rPr>
          <w:rFonts w:hint="eastAsia" w:ascii="方正仿宋_GBK" w:hAnsi="方正仿宋_GBK" w:eastAsia="方正仿宋_GBK" w:cs="方正仿宋_GBK"/>
          <w:sz w:val="28"/>
          <w:szCs w:val="28"/>
          <w:u w:val="single"/>
        </w:rPr>
        <w:t xml:space="preserve">         </w:t>
      </w:r>
    </w:p>
    <w:p w14:paraId="5820643E">
      <w:pPr>
        <w:spacing w:line="4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w:t>
      </w:r>
      <w:r>
        <w:rPr>
          <w:rFonts w:hint="eastAsia" w:ascii="方正仿宋_GBK" w:hAnsi="方正仿宋_GBK" w:eastAsia="方正仿宋_GBK" w:cs="方正仿宋_GBK"/>
          <w:sz w:val="28"/>
          <w:szCs w:val="28"/>
          <w:u w:val="single"/>
        </w:rPr>
        <w:t xml:space="preserve">         </w:t>
      </w:r>
    </w:p>
    <w:p w14:paraId="12434AA8">
      <w:pPr>
        <w:spacing w:line="4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    期：</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w:t>
      </w:r>
    </w:p>
    <w:p w14:paraId="3C527583">
      <w:pPr>
        <w:spacing w:line="520" w:lineRule="exact"/>
        <w:ind w:firstLine="560" w:firstLineChars="200"/>
        <w:rPr>
          <w:rFonts w:ascii="方正仿宋_GBK" w:hAnsi="方正仿宋_GBK" w:eastAsia="方正仿宋_GBK" w:cs="方正仿宋_GBK"/>
          <w:sz w:val="28"/>
          <w:szCs w:val="28"/>
        </w:rPr>
      </w:pPr>
    </w:p>
    <w:p w14:paraId="4A43D139">
      <w:pPr>
        <w:jc w:val="center"/>
        <w:rPr>
          <w:rFonts w:ascii="方正仿宋_GBK" w:hAnsi="方正仿宋_GBK" w:eastAsia="方正仿宋_GBK" w:cs="方正仿宋_GBK"/>
          <w:b/>
          <w:bCs/>
          <w:color w:val="000000"/>
          <w:kern w:val="0"/>
          <w:sz w:val="28"/>
          <w:szCs w:val="28"/>
        </w:rPr>
      </w:pPr>
      <w:bookmarkStart w:id="20" w:name="_Toc31358"/>
      <w:r>
        <w:rPr>
          <w:rFonts w:hint="eastAsia" w:ascii="方正仿宋_GB2312" w:hAnsi="方正仿宋_GB2312" w:eastAsia="方正仿宋_GB2312" w:cs="方正仿宋_GB2312"/>
          <w:b/>
          <w:bCs/>
          <w:sz w:val="28"/>
          <w:szCs w:val="32"/>
        </w:rPr>
        <w:br w:type="page"/>
      </w:r>
      <w:r>
        <w:rPr>
          <w:rFonts w:hint="eastAsia" w:ascii="方正仿宋_GB2312" w:hAnsi="方正仿宋_GB2312" w:eastAsia="方正仿宋_GB2312" w:cs="方正仿宋_GB2312"/>
          <w:b/>
          <w:bCs/>
          <w:sz w:val="28"/>
          <w:szCs w:val="32"/>
        </w:rPr>
        <w:t>承诺函</w:t>
      </w:r>
    </w:p>
    <w:p w14:paraId="5876DE2C">
      <w:pPr>
        <w:spacing w:line="560" w:lineRule="exac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致：四川振嘉工程招标代理有限公司</w:t>
      </w:r>
    </w:p>
    <w:p w14:paraId="65EEC357">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我公司作为本次采购项目的供应商，根据要求，现郑重承诺如下：</w:t>
      </w:r>
    </w:p>
    <w:p w14:paraId="4D3C5433">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一、我方已认真阅读并接受本项目的全部实质性要求，如对采购文件有异议，已依法进行维权救济，不存在对采购文件有异议的同时又参加投标以求侥幸成交或者为实现其他非法目的的行为。</w:t>
      </w:r>
    </w:p>
    <w:p w14:paraId="353EBAB6">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二、参加本次招标采购活动，不存在与单位负责人为同一人或者存在直接控股、管理关系的其他供应商参与同一合同项下的政府采购活动的行为。</w:t>
      </w:r>
    </w:p>
    <w:p w14:paraId="421D1AA2">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三、为采购项目提供整体设计、规范编制或者项目管理、监理、检测等服务的供应商，不得再参加该采购项目的其他采购活动，我方承诺不属于此类禁止参加本项目的供应商。</w:t>
      </w:r>
    </w:p>
    <w:p w14:paraId="49CF0EBF">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四、参加本次招标采购活动，不存在和其他供应商在同一合同项下的采购项目中，同时委托同一个自然人、同一家庭的人员、同一单位的人员作为代理人的行为。</w:t>
      </w:r>
    </w:p>
    <w:p w14:paraId="09DD92BB">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五、如果有被相关文件规定的记入诚信档案的失信行为，将在响应文件中全面如实反映。</w:t>
      </w:r>
    </w:p>
    <w:p w14:paraId="085E5CBB">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六、响应文件中提供的能够给予我方带来优惠、好处的任何材料资料和技术、服务、商务、响应产品等响应承诺情况都是真实的、有效的、合法的。</w:t>
      </w:r>
    </w:p>
    <w:p w14:paraId="751D3A9E">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七、如本项目评标过程中需要提供样品，则我方提供的样品即为中标后将要提供的中标产品，我方对提供样品的性能和质量负责，因样品存在缺陷或者不符合采购文件要求导致未能成交的，我方愿意承担相应不利后果。</w:t>
      </w:r>
    </w:p>
    <w:p w14:paraId="56B1DC31">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八、国家或行业主管部门对采购产品的技术标准、质量标准和资格资质条件等有强制性规定的，我方承诺符合其要求。</w:t>
      </w:r>
    </w:p>
    <w:p w14:paraId="6D03427F">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磋商报价中已包括合法获取该知识产权的相关费用。</w:t>
      </w:r>
    </w:p>
    <w:p w14:paraId="25475F34">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我方对上述承诺的内容事项真实性负责。如经查实上述承诺的内容事项存在虚假，我方愿意接受以提供虚假材料谋取成交的法律责任。</w:t>
      </w:r>
    </w:p>
    <w:p w14:paraId="06959945">
      <w:pPr>
        <w:spacing w:line="560" w:lineRule="exact"/>
        <w:rPr>
          <w:rFonts w:ascii="方正仿宋_GBK" w:hAnsi="方正仿宋_GBK" w:eastAsia="方正仿宋_GBK" w:cs="方正仿宋_GBK"/>
          <w:color w:val="000000"/>
          <w:kern w:val="0"/>
          <w:sz w:val="28"/>
          <w:szCs w:val="28"/>
        </w:rPr>
      </w:pPr>
    </w:p>
    <w:p w14:paraId="42E9404D">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供应商名称：</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（加盖供应商公章）</w:t>
      </w:r>
    </w:p>
    <w:p w14:paraId="7EAC864B">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u w:val="single"/>
        </w:rPr>
        <w:t xml:space="preserve">           </w:t>
      </w:r>
    </w:p>
    <w:p w14:paraId="49447834">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日期：</w:t>
      </w:r>
      <w:r>
        <w:rPr>
          <w:rFonts w:hint="eastAsia" w:ascii="方正仿宋_GBK" w:hAnsi="方正仿宋_GBK" w:eastAsia="方正仿宋_GBK" w:cs="方正仿宋_GBK"/>
          <w:color w:val="000000"/>
          <w:kern w:val="0"/>
          <w:sz w:val="28"/>
          <w:szCs w:val="28"/>
          <w:u w:val="single"/>
        </w:rPr>
        <w:t xml:space="preserve">           </w:t>
      </w:r>
    </w:p>
    <w:p w14:paraId="1B29AB9D">
      <w:r>
        <w:rPr>
          <w:rFonts w:hint="eastAsia"/>
        </w:rPr>
        <w:br w:type="page"/>
      </w:r>
    </w:p>
    <w:p w14:paraId="0620DE5C">
      <w:pPr>
        <w:pStyle w:val="4"/>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首轮报价表</w:t>
      </w:r>
    </w:p>
    <w:p w14:paraId="0DFE09E4">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项目名称：</w:t>
      </w:r>
    </w:p>
    <w:p w14:paraId="3442B8A1">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项目编号：</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 xml:space="preserve">  </w:t>
      </w:r>
    </w:p>
    <w:tbl>
      <w:tblPr>
        <w:tblStyle w:val="30"/>
        <w:tblpPr w:leftFromText="180" w:rightFromText="180" w:vertAnchor="text" w:horzAnchor="page" w:tblpX="1997" w:tblpY="623"/>
        <w:tblOverlap w:val="never"/>
        <w:tblW w:w="8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510"/>
        <w:gridCol w:w="927"/>
        <w:gridCol w:w="1037"/>
        <w:gridCol w:w="1514"/>
        <w:gridCol w:w="1445"/>
      </w:tblGrid>
      <w:tr w14:paraId="43E03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exact"/>
        </w:trPr>
        <w:tc>
          <w:tcPr>
            <w:tcW w:w="736" w:type="dxa"/>
            <w:tcBorders>
              <w:top w:val="single" w:color="auto" w:sz="4" w:space="0"/>
              <w:left w:val="single" w:color="auto" w:sz="4" w:space="0"/>
              <w:bottom w:val="single" w:color="auto" w:sz="4" w:space="0"/>
              <w:right w:val="single" w:color="auto" w:sz="4" w:space="0"/>
            </w:tcBorders>
            <w:noWrap w:val="0"/>
            <w:vAlign w:val="center"/>
          </w:tcPr>
          <w:p w14:paraId="23976483">
            <w:pPr>
              <w:snapToGrid w:val="0"/>
              <w:spacing w:line="40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序号</w:t>
            </w:r>
          </w:p>
        </w:tc>
        <w:tc>
          <w:tcPr>
            <w:tcW w:w="2510" w:type="dxa"/>
            <w:tcBorders>
              <w:top w:val="single" w:color="auto" w:sz="4" w:space="0"/>
              <w:left w:val="single" w:color="auto" w:sz="4" w:space="0"/>
              <w:bottom w:val="single" w:color="auto" w:sz="4" w:space="0"/>
              <w:right w:val="single" w:color="auto" w:sz="4" w:space="0"/>
            </w:tcBorders>
            <w:noWrap w:val="0"/>
            <w:vAlign w:val="center"/>
          </w:tcPr>
          <w:p w14:paraId="2BA0FB09">
            <w:pPr>
              <w:snapToGrid w:val="0"/>
              <w:spacing w:line="40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项目名称</w:t>
            </w:r>
          </w:p>
        </w:tc>
        <w:tc>
          <w:tcPr>
            <w:tcW w:w="927" w:type="dxa"/>
            <w:tcBorders>
              <w:top w:val="single" w:color="auto" w:sz="4" w:space="0"/>
              <w:left w:val="single" w:color="auto" w:sz="4" w:space="0"/>
              <w:bottom w:val="single" w:color="auto" w:sz="4" w:space="0"/>
              <w:right w:val="single" w:color="auto" w:sz="4" w:space="0"/>
            </w:tcBorders>
            <w:noWrap w:val="0"/>
            <w:vAlign w:val="center"/>
          </w:tcPr>
          <w:p w14:paraId="1A05B921">
            <w:pPr>
              <w:snapToGrid w:val="0"/>
              <w:spacing w:line="40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数量</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7C291886">
            <w:pPr>
              <w:snapToGrid w:val="0"/>
              <w:spacing w:line="40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单位</w:t>
            </w:r>
          </w:p>
        </w:tc>
        <w:tc>
          <w:tcPr>
            <w:tcW w:w="1514" w:type="dxa"/>
            <w:tcBorders>
              <w:top w:val="single" w:color="auto" w:sz="4" w:space="0"/>
              <w:left w:val="single" w:color="auto" w:sz="4" w:space="0"/>
              <w:bottom w:val="single" w:color="auto" w:sz="4" w:space="0"/>
              <w:right w:val="single" w:color="auto" w:sz="4" w:space="0"/>
            </w:tcBorders>
            <w:noWrap w:val="0"/>
            <w:vAlign w:val="center"/>
          </w:tcPr>
          <w:p w14:paraId="0CD85CFB">
            <w:pPr>
              <w:snapToGrid w:val="0"/>
              <w:spacing w:line="40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报价（元）</w:t>
            </w:r>
          </w:p>
        </w:tc>
        <w:tc>
          <w:tcPr>
            <w:tcW w:w="1445" w:type="dxa"/>
            <w:tcBorders>
              <w:top w:val="single" w:color="auto" w:sz="4" w:space="0"/>
              <w:left w:val="single" w:color="auto" w:sz="4" w:space="0"/>
              <w:bottom w:val="single" w:color="auto" w:sz="4" w:space="0"/>
              <w:right w:val="single" w:color="auto" w:sz="4" w:space="0"/>
            </w:tcBorders>
            <w:noWrap w:val="0"/>
            <w:vAlign w:val="center"/>
          </w:tcPr>
          <w:p w14:paraId="03B8ADB7">
            <w:pPr>
              <w:snapToGrid w:val="0"/>
              <w:spacing w:line="400" w:lineRule="exact"/>
              <w:ind w:firstLine="120" w:firstLineChars="50"/>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备注</w:t>
            </w:r>
          </w:p>
        </w:tc>
      </w:tr>
      <w:tr w14:paraId="182F8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14:paraId="02192074">
            <w:pPr>
              <w:snapToGrid w:val="0"/>
              <w:spacing w:line="40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p>
        </w:tc>
        <w:tc>
          <w:tcPr>
            <w:tcW w:w="2510" w:type="dxa"/>
            <w:tcBorders>
              <w:top w:val="single" w:color="auto" w:sz="4" w:space="0"/>
              <w:left w:val="single" w:color="auto" w:sz="4" w:space="0"/>
              <w:bottom w:val="single" w:color="auto" w:sz="4" w:space="0"/>
              <w:right w:val="single" w:color="auto" w:sz="4" w:space="0"/>
            </w:tcBorders>
            <w:noWrap w:val="0"/>
            <w:vAlign w:val="center"/>
          </w:tcPr>
          <w:p w14:paraId="1AFDDE7B">
            <w:pPr>
              <w:snapToGrid w:val="0"/>
              <w:spacing w:line="400" w:lineRule="exact"/>
              <w:jc w:val="center"/>
              <w:rPr>
                <w:rFonts w:hint="eastAsia" w:ascii="方正仿宋_GBK" w:hAnsi="方正仿宋_GBK" w:eastAsia="方正仿宋_GBK" w:cs="方正仿宋_GBK"/>
                <w:color w:val="000000"/>
                <w:sz w:val="24"/>
                <w:szCs w:val="24"/>
                <w:lang w:eastAsia="zh-CN"/>
              </w:rPr>
            </w:pPr>
          </w:p>
        </w:tc>
        <w:tc>
          <w:tcPr>
            <w:tcW w:w="927" w:type="dxa"/>
            <w:tcBorders>
              <w:top w:val="single" w:color="auto" w:sz="4" w:space="0"/>
              <w:left w:val="single" w:color="auto" w:sz="4" w:space="0"/>
              <w:bottom w:val="single" w:color="auto" w:sz="4" w:space="0"/>
              <w:right w:val="single" w:color="auto" w:sz="4" w:space="0"/>
            </w:tcBorders>
            <w:noWrap w:val="0"/>
            <w:vAlign w:val="center"/>
          </w:tcPr>
          <w:p w14:paraId="7E641FF0">
            <w:pPr>
              <w:snapToGrid w:val="0"/>
              <w:spacing w:line="40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7E63BD03">
            <w:pPr>
              <w:snapToGrid w:val="0"/>
              <w:spacing w:line="40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项</w:t>
            </w:r>
          </w:p>
        </w:tc>
        <w:tc>
          <w:tcPr>
            <w:tcW w:w="1514" w:type="dxa"/>
            <w:tcBorders>
              <w:top w:val="single" w:color="auto" w:sz="4" w:space="0"/>
              <w:left w:val="single" w:color="auto" w:sz="4" w:space="0"/>
              <w:bottom w:val="single" w:color="auto" w:sz="4" w:space="0"/>
              <w:right w:val="single" w:color="auto" w:sz="4" w:space="0"/>
            </w:tcBorders>
            <w:noWrap w:val="0"/>
            <w:vAlign w:val="center"/>
          </w:tcPr>
          <w:p w14:paraId="1C12C73B">
            <w:pPr>
              <w:snapToGrid w:val="0"/>
              <w:spacing w:line="400" w:lineRule="exact"/>
              <w:jc w:val="center"/>
              <w:rPr>
                <w:rFonts w:hint="eastAsia" w:ascii="方正仿宋_GBK" w:hAnsi="方正仿宋_GBK" w:eastAsia="方正仿宋_GBK" w:cs="方正仿宋_GBK"/>
                <w:color w:val="000000"/>
                <w:sz w:val="24"/>
                <w:szCs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0B62EF78">
            <w:pPr>
              <w:snapToGrid w:val="0"/>
              <w:spacing w:line="400" w:lineRule="exact"/>
              <w:jc w:val="center"/>
              <w:rPr>
                <w:rFonts w:hint="eastAsia" w:ascii="方正仿宋_GBK" w:hAnsi="方正仿宋_GBK" w:eastAsia="方正仿宋_GBK" w:cs="方正仿宋_GBK"/>
                <w:color w:val="000000"/>
                <w:sz w:val="24"/>
                <w:szCs w:val="24"/>
              </w:rPr>
            </w:pPr>
          </w:p>
        </w:tc>
      </w:tr>
      <w:tr w14:paraId="2A7B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14:paraId="126ABF99">
            <w:pPr>
              <w:snapToGrid w:val="0"/>
              <w:spacing w:line="400" w:lineRule="exact"/>
              <w:jc w:val="center"/>
              <w:rPr>
                <w:rFonts w:hint="eastAsia" w:ascii="方正仿宋_GBK" w:hAnsi="方正仿宋_GBK" w:eastAsia="方正仿宋_GBK" w:cs="方正仿宋_GBK"/>
                <w:color w:val="000000"/>
                <w:sz w:val="24"/>
                <w:szCs w:val="24"/>
              </w:rPr>
            </w:pPr>
            <w:r>
              <w:rPr>
                <w:rFonts w:hint="eastAsia" w:ascii="仿宋" w:hAnsi="仿宋" w:eastAsia="仿宋" w:cs="仿宋"/>
                <w:sz w:val="24"/>
                <w:szCs w:val="24"/>
              </w:rPr>
              <w:t>合计金额</w:t>
            </w:r>
          </w:p>
        </w:tc>
        <w:tc>
          <w:tcPr>
            <w:tcW w:w="7433" w:type="dxa"/>
            <w:gridSpan w:val="5"/>
            <w:tcBorders>
              <w:top w:val="single" w:color="auto" w:sz="4" w:space="0"/>
              <w:left w:val="single" w:color="auto" w:sz="4" w:space="0"/>
              <w:bottom w:val="single" w:color="auto" w:sz="4" w:space="0"/>
              <w:right w:val="single" w:color="auto" w:sz="4" w:space="0"/>
            </w:tcBorders>
            <w:noWrap w:val="0"/>
            <w:vAlign w:val="center"/>
          </w:tcPr>
          <w:p w14:paraId="456568E4">
            <w:pPr>
              <w:snapToGrid w:val="0"/>
              <w:spacing w:line="400" w:lineRule="exact"/>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小写：</w:t>
            </w:r>
            <w:r>
              <w:rPr>
                <w:rFonts w:hint="eastAsia" w:ascii="方正仿宋_GBK" w:hAnsi="方正仿宋_GBK" w:eastAsia="方正仿宋_GBK" w:cs="方正仿宋_GBK"/>
                <w:color w:val="000000"/>
                <w:sz w:val="24"/>
                <w:szCs w:val="24"/>
                <w:u w:val="single"/>
                <w:lang w:val="en-US" w:eastAsia="zh-CN"/>
              </w:rPr>
              <w:t xml:space="preserve">               </w:t>
            </w:r>
            <w:r>
              <w:rPr>
                <w:rFonts w:hint="eastAsia" w:ascii="方正仿宋_GBK" w:hAnsi="方正仿宋_GBK" w:eastAsia="方正仿宋_GBK" w:cs="方正仿宋_GBK"/>
                <w:color w:val="000000"/>
                <w:sz w:val="24"/>
                <w:szCs w:val="24"/>
              </w:rPr>
              <w:t>大写：</w:t>
            </w:r>
            <w:r>
              <w:rPr>
                <w:rFonts w:hint="eastAsia" w:ascii="方正仿宋_GBK" w:hAnsi="方正仿宋_GBK" w:eastAsia="方正仿宋_GBK" w:cs="方正仿宋_GBK"/>
                <w:color w:val="000000"/>
                <w:sz w:val="24"/>
                <w:szCs w:val="24"/>
                <w:u w:val="single"/>
                <w:lang w:val="en-US" w:eastAsia="zh-CN"/>
              </w:rPr>
              <w:t xml:space="preserve">                    </w:t>
            </w:r>
          </w:p>
        </w:tc>
      </w:tr>
    </w:tbl>
    <w:p w14:paraId="66AB4873">
      <w:pPr>
        <w:pStyle w:val="22"/>
        <w:rPr>
          <w:rFonts w:hint="eastAsia"/>
        </w:rPr>
      </w:pPr>
    </w:p>
    <w:p w14:paraId="3F1EFF63">
      <w:pPr>
        <w:spacing w:line="360" w:lineRule="auto"/>
        <w:ind w:firstLine="1120" w:firstLineChars="4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注：此项目报价应是最终用户验收合格后的总价，包含满足本项目所有费用，采购人不再另行支付其他一切费用。</w:t>
      </w:r>
    </w:p>
    <w:p w14:paraId="39588CE3">
      <w:pPr>
        <w:spacing w:line="560" w:lineRule="exact"/>
        <w:rPr>
          <w:rFonts w:ascii="方正仿宋_GBK" w:hAnsi="方正仿宋_GBK" w:eastAsia="方正仿宋_GBK" w:cs="方正仿宋_GBK"/>
          <w:kern w:val="0"/>
          <w:sz w:val="28"/>
          <w:szCs w:val="28"/>
        </w:rPr>
      </w:pPr>
    </w:p>
    <w:p w14:paraId="24C9D933">
      <w:pPr>
        <w:spacing w:line="560" w:lineRule="exact"/>
        <w:rPr>
          <w:rFonts w:ascii="方正仿宋_GBK" w:hAnsi="方正仿宋_GBK" w:eastAsia="方正仿宋_GBK" w:cs="方正仿宋_GBK"/>
          <w:kern w:val="0"/>
          <w:sz w:val="28"/>
          <w:szCs w:val="28"/>
        </w:rPr>
      </w:pPr>
    </w:p>
    <w:p w14:paraId="585203AC">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（加盖供应商公章）</w:t>
      </w:r>
    </w:p>
    <w:p w14:paraId="3B9C97F7">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kern w:val="0"/>
          <w:sz w:val="28"/>
          <w:szCs w:val="28"/>
        </w:rPr>
        <w:t>：</w:t>
      </w:r>
    </w:p>
    <w:p w14:paraId="4DC9C512">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日期：</w:t>
      </w:r>
    </w:p>
    <w:p w14:paraId="706470B6">
      <w:pPr>
        <w:rPr>
          <w:rFonts w:ascii="方正仿宋_GBK" w:hAnsi="方正仿宋_GBK" w:eastAsia="方正仿宋_GBK" w:cs="方正仿宋_GBK"/>
          <w:sz w:val="28"/>
          <w:szCs w:val="28"/>
        </w:rPr>
      </w:pPr>
    </w:p>
    <w:p w14:paraId="1EF3A4E2"/>
    <w:p w14:paraId="377D2163">
      <w:r>
        <w:rPr>
          <w:rFonts w:hint="eastAsia"/>
        </w:rPr>
        <w:br w:type="page"/>
      </w:r>
    </w:p>
    <w:p w14:paraId="00B3DB71">
      <w:pPr>
        <w:pStyle w:val="4"/>
        <w:jc w:val="center"/>
      </w:pPr>
      <w:r>
        <w:rPr>
          <w:rFonts w:hint="eastAsia"/>
        </w:rPr>
        <w:t>技术、服务要求响应表</w:t>
      </w:r>
      <w:bookmarkEnd w:id="20"/>
    </w:p>
    <w:p w14:paraId="4D388E48">
      <w:pPr>
        <w:pStyle w:val="7"/>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项目编号：</w:t>
      </w:r>
    </w:p>
    <w:tbl>
      <w:tblPr>
        <w:tblStyle w:val="30"/>
        <w:tblW w:w="8438"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1"/>
        <w:gridCol w:w="1169"/>
        <w:gridCol w:w="2731"/>
        <w:gridCol w:w="2107"/>
        <w:gridCol w:w="1730"/>
      </w:tblGrid>
      <w:tr w14:paraId="0EE69B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701" w:type="dxa"/>
            <w:tcBorders>
              <w:tl2br w:val="nil"/>
              <w:tr2bl w:val="nil"/>
            </w:tcBorders>
            <w:noWrap w:val="0"/>
            <w:vAlign w:val="center"/>
          </w:tcPr>
          <w:p w14:paraId="22E44BAC">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1169" w:type="dxa"/>
            <w:tcBorders>
              <w:tl2br w:val="nil"/>
              <w:tr2bl w:val="nil"/>
            </w:tcBorders>
            <w:noWrap w:val="0"/>
            <w:vAlign w:val="center"/>
          </w:tcPr>
          <w:p w14:paraId="5D86F649">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采购内容</w:t>
            </w:r>
          </w:p>
        </w:tc>
        <w:tc>
          <w:tcPr>
            <w:tcW w:w="2731" w:type="dxa"/>
            <w:tcBorders>
              <w:tl2br w:val="nil"/>
              <w:tr2bl w:val="nil"/>
            </w:tcBorders>
            <w:noWrap w:val="0"/>
            <w:vAlign w:val="center"/>
          </w:tcPr>
          <w:p w14:paraId="4DA05753">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竞争性磋商文件要求</w:t>
            </w:r>
          </w:p>
        </w:tc>
        <w:tc>
          <w:tcPr>
            <w:tcW w:w="2107" w:type="dxa"/>
            <w:tcBorders>
              <w:tl2br w:val="nil"/>
              <w:tr2bl w:val="nil"/>
            </w:tcBorders>
            <w:noWrap w:val="0"/>
            <w:vAlign w:val="center"/>
          </w:tcPr>
          <w:p w14:paraId="28C65030">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响应文件响应</w:t>
            </w:r>
          </w:p>
        </w:tc>
        <w:tc>
          <w:tcPr>
            <w:tcW w:w="1730" w:type="dxa"/>
            <w:tcBorders>
              <w:tl2br w:val="nil"/>
              <w:tr2bl w:val="nil"/>
            </w:tcBorders>
            <w:noWrap w:val="0"/>
            <w:vAlign w:val="center"/>
          </w:tcPr>
          <w:p w14:paraId="4DE1B9CE">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偏离情况</w:t>
            </w:r>
          </w:p>
        </w:tc>
      </w:tr>
      <w:tr w14:paraId="0F728C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701" w:type="dxa"/>
            <w:tcBorders>
              <w:tl2br w:val="nil"/>
              <w:tr2bl w:val="nil"/>
            </w:tcBorders>
            <w:noWrap w:val="0"/>
            <w:vAlign w:val="center"/>
          </w:tcPr>
          <w:p w14:paraId="2E10B19C">
            <w:pPr>
              <w:jc w:val="center"/>
              <w:rPr>
                <w:rFonts w:ascii="方正仿宋_GBK" w:hAnsi="方正仿宋_GBK" w:eastAsia="方正仿宋_GBK" w:cs="方正仿宋_GBK"/>
                <w:sz w:val="28"/>
                <w:szCs w:val="28"/>
              </w:rPr>
            </w:pPr>
          </w:p>
        </w:tc>
        <w:tc>
          <w:tcPr>
            <w:tcW w:w="1169" w:type="dxa"/>
            <w:tcBorders>
              <w:tl2br w:val="nil"/>
              <w:tr2bl w:val="nil"/>
            </w:tcBorders>
            <w:noWrap w:val="0"/>
            <w:vAlign w:val="center"/>
          </w:tcPr>
          <w:p w14:paraId="0AF10909">
            <w:pPr>
              <w:jc w:val="center"/>
              <w:rPr>
                <w:rFonts w:ascii="方正仿宋_GBK" w:hAnsi="方正仿宋_GBK" w:eastAsia="方正仿宋_GBK" w:cs="方正仿宋_GBK"/>
                <w:sz w:val="28"/>
                <w:szCs w:val="28"/>
              </w:rPr>
            </w:pPr>
          </w:p>
        </w:tc>
        <w:tc>
          <w:tcPr>
            <w:tcW w:w="2731" w:type="dxa"/>
            <w:tcBorders>
              <w:tl2br w:val="nil"/>
              <w:tr2bl w:val="nil"/>
            </w:tcBorders>
            <w:noWrap w:val="0"/>
            <w:vAlign w:val="center"/>
          </w:tcPr>
          <w:p w14:paraId="67B0DD01">
            <w:pPr>
              <w:jc w:val="center"/>
              <w:rPr>
                <w:rFonts w:ascii="方正仿宋_GBK" w:hAnsi="方正仿宋_GBK" w:eastAsia="方正仿宋_GBK" w:cs="方正仿宋_GBK"/>
                <w:sz w:val="28"/>
                <w:szCs w:val="28"/>
              </w:rPr>
            </w:pPr>
          </w:p>
        </w:tc>
        <w:tc>
          <w:tcPr>
            <w:tcW w:w="2107" w:type="dxa"/>
            <w:tcBorders>
              <w:tl2br w:val="nil"/>
              <w:tr2bl w:val="nil"/>
            </w:tcBorders>
            <w:noWrap w:val="0"/>
            <w:vAlign w:val="center"/>
          </w:tcPr>
          <w:p w14:paraId="46E949ED">
            <w:pPr>
              <w:jc w:val="center"/>
              <w:rPr>
                <w:rFonts w:ascii="方正仿宋_GBK" w:hAnsi="方正仿宋_GBK" w:eastAsia="方正仿宋_GBK" w:cs="方正仿宋_GBK"/>
                <w:sz w:val="28"/>
                <w:szCs w:val="28"/>
              </w:rPr>
            </w:pPr>
          </w:p>
        </w:tc>
        <w:tc>
          <w:tcPr>
            <w:tcW w:w="1730" w:type="dxa"/>
            <w:tcBorders>
              <w:tl2br w:val="nil"/>
              <w:tr2bl w:val="nil"/>
            </w:tcBorders>
            <w:noWrap w:val="0"/>
            <w:vAlign w:val="center"/>
          </w:tcPr>
          <w:p w14:paraId="4146147E">
            <w:pPr>
              <w:jc w:val="center"/>
              <w:rPr>
                <w:rFonts w:ascii="方正仿宋_GBK" w:hAnsi="方正仿宋_GBK" w:eastAsia="方正仿宋_GBK" w:cs="方正仿宋_GBK"/>
                <w:sz w:val="28"/>
                <w:szCs w:val="28"/>
              </w:rPr>
            </w:pPr>
          </w:p>
        </w:tc>
      </w:tr>
      <w:tr w14:paraId="586464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701" w:type="dxa"/>
            <w:tcBorders>
              <w:tl2br w:val="nil"/>
              <w:tr2bl w:val="nil"/>
            </w:tcBorders>
            <w:noWrap w:val="0"/>
            <w:vAlign w:val="center"/>
          </w:tcPr>
          <w:p w14:paraId="30D88286">
            <w:pPr>
              <w:jc w:val="center"/>
              <w:rPr>
                <w:rFonts w:ascii="方正仿宋_GBK" w:hAnsi="方正仿宋_GBK" w:eastAsia="方正仿宋_GBK" w:cs="方正仿宋_GBK"/>
                <w:sz w:val="28"/>
                <w:szCs w:val="28"/>
              </w:rPr>
            </w:pPr>
          </w:p>
        </w:tc>
        <w:tc>
          <w:tcPr>
            <w:tcW w:w="1169" w:type="dxa"/>
            <w:tcBorders>
              <w:tl2br w:val="nil"/>
              <w:tr2bl w:val="nil"/>
            </w:tcBorders>
            <w:noWrap w:val="0"/>
            <w:vAlign w:val="center"/>
          </w:tcPr>
          <w:p w14:paraId="118486FA">
            <w:pPr>
              <w:jc w:val="center"/>
              <w:rPr>
                <w:rFonts w:ascii="方正仿宋_GBK" w:hAnsi="方正仿宋_GBK" w:eastAsia="方正仿宋_GBK" w:cs="方正仿宋_GBK"/>
                <w:sz w:val="28"/>
                <w:szCs w:val="28"/>
              </w:rPr>
            </w:pPr>
          </w:p>
        </w:tc>
        <w:tc>
          <w:tcPr>
            <w:tcW w:w="2731" w:type="dxa"/>
            <w:tcBorders>
              <w:tl2br w:val="nil"/>
              <w:tr2bl w:val="nil"/>
            </w:tcBorders>
            <w:noWrap w:val="0"/>
            <w:vAlign w:val="center"/>
          </w:tcPr>
          <w:p w14:paraId="7889C56B">
            <w:pPr>
              <w:jc w:val="center"/>
              <w:rPr>
                <w:rFonts w:ascii="方正仿宋_GBK" w:hAnsi="方正仿宋_GBK" w:eastAsia="方正仿宋_GBK" w:cs="方正仿宋_GBK"/>
                <w:sz w:val="28"/>
                <w:szCs w:val="28"/>
              </w:rPr>
            </w:pPr>
          </w:p>
        </w:tc>
        <w:tc>
          <w:tcPr>
            <w:tcW w:w="2107" w:type="dxa"/>
            <w:tcBorders>
              <w:tl2br w:val="nil"/>
              <w:tr2bl w:val="nil"/>
            </w:tcBorders>
            <w:noWrap w:val="0"/>
            <w:vAlign w:val="center"/>
          </w:tcPr>
          <w:p w14:paraId="78F2D944">
            <w:pPr>
              <w:jc w:val="center"/>
              <w:rPr>
                <w:rFonts w:ascii="方正仿宋_GBK" w:hAnsi="方正仿宋_GBK" w:eastAsia="方正仿宋_GBK" w:cs="方正仿宋_GBK"/>
                <w:sz w:val="28"/>
                <w:szCs w:val="28"/>
              </w:rPr>
            </w:pPr>
          </w:p>
        </w:tc>
        <w:tc>
          <w:tcPr>
            <w:tcW w:w="1730" w:type="dxa"/>
            <w:tcBorders>
              <w:tl2br w:val="nil"/>
              <w:tr2bl w:val="nil"/>
            </w:tcBorders>
            <w:noWrap w:val="0"/>
            <w:vAlign w:val="center"/>
          </w:tcPr>
          <w:p w14:paraId="4BA96DAB">
            <w:pPr>
              <w:jc w:val="center"/>
              <w:rPr>
                <w:rFonts w:ascii="方正仿宋_GBK" w:hAnsi="方正仿宋_GBK" w:eastAsia="方正仿宋_GBK" w:cs="方正仿宋_GBK"/>
                <w:sz w:val="28"/>
                <w:szCs w:val="28"/>
              </w:rPr>
            </w:pPr>
          </w:p>
        </w:tc>
      </w:tr>
      <w:tr w14:paraId="4588CD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701" w:type="dxa"/>
            <w:tcBorders>
              <w:tl2br w:val="nil"/>
              <w:tr2bl w:val="nil"/>
            </w:tcBorders>
            <w:noWrap w:val="0"/>
            <w:vAlign w:val="center"/>
          </w:tcPr>
          <w:p w14:paraId="45872DFA">
            <w:pPr>
              <w:jc w:val="center"/>
              <w:rPr>
                <w:rFonts w:ascii="方正仿宋_GBK" w:hAnsi="方正仿宋_GBK" w:eastAsia="方正仿宋_GBK" w:cs="方正仿宋_GBK"/>
                <w:sz w:val="28"/>
                <w:szCs w:val="28"/>
              </w:rPr>
            </w:pPr>
          </w:p>
        </w:tc>
        <w:tc>
          <w:tcPr>
            <w:tcW w:w="1169" w:type="dxa"/>
            <w:tcBorders>
              <w:tl2br w:val="nil"/>
              <w:tr2bl w:val="nil"/>
            </w:tcBorders>
            <w:noWrap w:val="0"/>
            <w:vAlign w:val="center"/>
          </w:tcPr>
          <w:p w14:paraId="389F3E4E">
            <w:pPr>
              <w:jc w:val="center"/>
              <w:rPr>
                <w:rFonts w:ascii="方正仿宋_GBK" w:hAnsi="方正仿宋_GBK" w:eastAsia="方正仿宋_GBK" w:cs="方正仿宋_GBK"/>
                <w:sz w:val="28"/>
                <w:szCs w:val="28"/>
              </w:rPr>
            </w:pPr>
          </w:p>
        </w:tc>
        <w:tc>
          <w:tcPr>
            <w:tcW w:w="2731" w:type="dxa"/>
            <w:tcBorders>
              <w:tl2br w:val="nil"/>
              <w:tr2bl w:val="nil"/>
            </w:tcBorders>
            <w:noWrap w:val="0"/>
            <w:vAlign w:val="center"/>
          </w:tcPr>
          <w:p w14:paraId="7A315B8A">
            <w:pPr>
              <w:jc w:val="center"/>
              <w:rPr>
                <w:rFonts w:ascii="方正仿宋_GBK" w:hAnsi="方正仿宋_GBK" w:eastAsia="方正仿宋_GBK" w:cs="方正仿宋_GBK"/>
                <w:sz w:val="28"/>
                <w:szCs w:val="28"/>
              </w:rPr>
            </w:pPr>
          </w:p>
        </w:tc>
        <w:tc>
          <w:tcPr>
            <w:tcW w:w="2107" w:type="dxa"/>
            <w:tcBorders>
              <w:tl2br w:val="nil"/>
              <w:tr2bl w:val="nil"/>
            </w:tcBorders>
            <w:noWrap w:val="0"/>
            <w:vAlign w:val="center"/>
          </w:tcPr>
          <w:p w14:paraId="461B8896">
            <w:pPr>
              <w:jc w:val="center"/>
              <w:rPr>
                <w:rFonts w:ascii="方正仿宋_GBK" w:hAnsi="方正仿宋_GBK" w:eastAsia="方正仿宋_GBK" w:cs="方正仿宋_GBK"/>
                <w:sz w:val="28"/>
                <w:szCs w:val="28"/>
              </w:rPr>
            </w:pPr>
          </w:p>
        </w:tc>
        <w:tc>
          <w:tcPr>
            <w:tcW w:w="1730" w:type="dxa"/>
            <w:tcBorders>
              <w:tl2br w:val="nil"/>
              <w:tr2bl w:val="nil"/>
            </w:tcBorders>
            <w:noWrap w:val="0"/>
            <w:vAlign w:val="center"/>
          </w:tcPr>
          <w:p w14:paraId="32545399">
            <w:pPr>
              <w:jc w:val="center"/>
              <w:rPr>
                <w:rFonts w:ascii="方正仿宋_GBK" w:hAnsi="方正仿宋_GBK" w:eastAsia="方正仿宋_GBK" w:cs="方正仿宋_GBK"/>
                <w:sz w:val="28"/>
                <w:szCs w:val="28"/>
              </w:rPr>
            </w:pPr>
          </w:p>
        </w:tc>
      </w:tr>
      <w:tr w14:paraId="4B7DEC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701" w:type="dxa"/>
            <w:tcBorders>
              <w:tl2br w:val="nil"/>
              <w:tr2bl w:val="nil"/>
            </w:tcBorders>
            <w:noWrap w:val="0"/>
            <w:vAlign w:val="center"/>
          </w:tcPr>
          <w:p w14:paraId="7E726187">
            <w:pPr>
              <w:jc w:val="center"/>
              <w:rPr>
                <w:rFonts w:ascii="方正仿宋_GBK" w:hAnsi="方正仿宋_GBK" w:eastAsia="方正仿宋_GBK" w:cs="方正仿宋_GBK"/>
                <w:sz w:val="28"/>
                <w:szCs w:val="28"/>
              </w:rPr>
            </w:pPr>
          </w:p>
        </w:tc>
        <w:tc>
          <w:tcPr>
            <w:tcW w:w="1169" w:type="dxa"/>
            <w:tcBorders>
              <w:tl2br w:val="nil"/>
              <w:tr2bl w:val="nil"/>
            </w:tcBorders>
            <w:noWrap w:val="0"/>
            <w:vAlign w:val="center"/>
          </w:tcPr>
          <w:p w14:paraId="78242EA5">
            <w:pPr>
              <w:jc w:val="center"/>
              <w:rPr>
                <w:rFonts w:ascii="方正仿宋_GBK" w:hAnsi="方正仿宋_GBK" w:eastAsia="方正仿宋_GBK" w:cs="方正仿宋_GBK"/>
                <w:sz w:val="28"/>
                <w:szCs w:val="28"/>
              </w:rPr>
            </w:pPr>
          </w:p>
        </w:tc>
        <w:tc>
          <w:tcPr>
            <w:tcW w:w="2731" w:type="dxa"/>
            <w:tcBorders>
              <w:tl2br w:val="nil"/>
              <w:tr2bl w:val="nil"/>
            </w:tcBorders>
            <w:noWrap w:val="0"/>
            <w:vAlign w:val="center"/>
          </w:tcPr>
          <w:p w14:paraId="3211F7C3">
            <w:pPr>
              <w:jc w:val="center"/>
              <w:rPr>
                <w:rFonts w:ascii="方正仿宋_GBK" w:hAnsi="方正仿宋_GBK" w:eastAsia="方正仿宋_GBK" w:cs="方正仿宋_GBK"/>
                <w:sz w:val="28"/>
                <w:szCs w:val="28"/>
              </w:rPr>
            </w:pPr>
          </w:p>
        </w:tc>
        <w:tc>
          <w:tcPr>
            <w:tcW w:w="2107" w:type="dxa"/>
            <w:tcBorders>
              <w:tl2br w:val="nil"/>
              <w:tr2bl w:val="nil"/>
            </w:tcBorders>
            <w:noWrap w:val="0"/>
            <w:vAlign w:val="center"/>
          </w:tcPr>
          <w:p w14:paraId="2B0F00C2">
            <w:pPr>
              <w:jc w:val="center"/>
              <w:rPr>
                <w:rFonts w:ascii="方正仿宋_GBK" w:hAnsi="方正仿宋_GBK" w:eastAsia="方正仿宋_GBK" w:cs="方正仿宋_GBK"/>
                <w:sz w:val="28"/>
                <w:szCs w:val="28"/>
              </w:rPr>
            </w:pPr>
          </w:p>
        </w:tc>
        <w:tc>
          <w:tcPr>
            <w:tcW w:w="1730" w:type="dxa"/>
            <w:tcBorders>
              <w:tl2br w:val="nil"/>
              <w:tr2bl w:val="nil"/>
            </w:tcBorders>
            <w:noWrap w:val="0"/>
            <w:vAlign w:val="center"/>
          </w:tcPr>
          <w:p w14:paraId="48508ED3">
            <w:pPr>
              <w:jc w:val="center"/>
              <w:rPr>
                <w:rFonts w:ascii="方正仿宋_GBK" w:hAnsi="方正仿宋_GBK" w:eastAsia="方正仿宋_GBK" w:cs="方正仿宋_GBK"/>
                <w:sz w:val="28"/>
                <w:szCs w:val="28"/>
              </w:rPr>
            </w:pPr>
          </w:p>
        </w:tc>
      </w:tr>
      <w:tr w14:paraId="1A02C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701" w:type="dxa"/>
            <w:tcBorders>
              <w:tl2br w:val="nil"/>
              <w:tr2bl w:val="nil"/>
            </w:tcBorders>
            <w:noWrap w:val="0"/>
            <w:vAlign w:val="center"/>
          </w:tcPr>
          <w:p w14:paraId="06EABCCC">
            <w:pPr>
              <w:jc w:val="center"/>
              <w:rPr>
                <w:rFonts w:ascii="方正仿宋_GBK" w:hAnsi="方正仿宋_GBK" w:eastAsia="方正仿宋_GBK" w:cs="方正仿宋_GBK"/>
                <w:sz w:val="28"/>
                <w:szCs w:val="28"/>
              </w:rPr>
            </w:pPr>
          </w:p>
        </w:tc>
        <w:tc>
          <w:tcPr>
            <w:tcW w:w="1169" w:type="dxa"/>
            <w:tcBorders>
              <w:tl2br w:val="nil"/>
              <w:tr2bl w:val="nil"/>
            </w:tcBorders>
            <w:noWrap w:val="0"/>
            <w:vAlign w:val="center"/>
          </w:tcPr>
          <w:p w14:paraId="5859504E">
            <w:pPr>
              <w:jc w:val="center"/>
              <w:rPr>
                <w:rFonts w:ascii="方正仿宋_GBK" w:hAnsi="方正仿宋_GBK" w:eastAsia="方正仿宋_GBK" w:cs="方正仿宋_GBK"/>
                <w:sz w:val="28"/>
                <w:szCs w:val="28"/>
              </w:rPr>
            </w:pPr>
          </w:p>
        </w:tc>
        <w:tc>
          <w:tcPr>
            <w:tcW w:w="2731" w:type="dxa"/>
            <w:tcBorders>
              <w:tl2br w:val="nil"/>
              <w:tr2bl w:val="nil"/>
            </w:tcBorders>
            <w:noWrap w:val="0"/>
            <w:vAlign w:val="center"/>
          </w:tcPr>
          <w:p w14:paraId="63C9A239">
            <w:pPr>
              <w:jc w:val="center"/>
              <w:rPr>
                <w:rFonts w:ascii="方正仿宋_GBK" w:hAnsi="方正仿宋_GBK" w:eastAsia="方正仿宋_GBK" w:cs="方正仿宋_GBK"/>
                <w:sz w:val="28"/>
                <w:szCs w:val="28"/>
              </w:rPr>
            </w:pPr>
          </w:p>
        </w:tc>
        <w:tc>
          <w:tcPr>
            <w:tcW w:w="2107" w:type="dxa"/>
            <w:tcBorders>
              <w:tl2br w:val="nil"/>
              <w:tr2bl w:val="nil"/>
            </w:tcBorders>
            <w:noWrap w:val="0"/>
            <w:vAlign w:val="center"/>
          </w:tcPr>
          <w:p w14:paraId="2899FDE2">
            <w:pPr>
              <w:jc w:val="center"/>
              <w:rPr>
                <w:rFonts w:ascii="方正仿宋_GBK" w:hAnsi="方正仿宋_GBK" w:eastAsia="方正仿宋_GBK" w:cs="方正仿宋_GBK"/>
                <w:sz w:val="28"/>
                <w:szCs w:val="28"/>
              </w:rPr>
            </w:pPr>
          </w:p>
        </w:tc>
        <w:tc>
          <w:tcPr>
            <w:tcW w:w="1730" w:type="dxa"/>
            <w:tcBorders>
              <w:tl2br w:val="nil"/>
              <w:tr2bl w:val="nil"/>
            </w:tcBorders>
            <w:noWrap w:val="0"/>
            <w:vAlign w:val="center"/>
          </w:tcPr>
          <w:p w14:paraId="717808EC">
            <w:pPr>
              <w:jc w:val="center"/>
              <w:rPr>
                <w:rFonts w:ascii="方正仿宋_GBK" w:hAnsi="方正仿宋_GBK" w:eastAsia="方正仿宋_GBK" w:cs="方正仿宋_GBK"/>
                <w:sz w:val="28"/>
                <w:szCs w:val="28"/>
              </w:rPr>
            </w:pPr>
          </w:p>
        </w:tc>
      </w:tr>
      <w:tr w14:paraId="36C84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701" w:type="dxa"/>
            <w:tcBorders>
              <w:tl2br w:val="nil"/>
              <w:tr2bl w:val="nil"/>
            </w:tcBorders>
            <w:noWrap w:val="0"/>
            <w:vAlign w:val="center"/>
          </w:tcPr>
          <w:p w14:paraId="1FF29B0A">
            <w:pPr>
              <w:jc w:val="center"/>
              <w:rPr>
                <w:rFonts w:ascii="方正仿宋_GBK" w:hAnsi="方正仿宋_GBK" w:eastAsia="方正仿宋_GBK" w:cs="方正仿宋_GBK"/>
                <w:sz w:val="28"/>
                <w:szCs w:val="28"/>
              </w:rPr>
            </w:pPr>
          </w:p>
        </w:tc>
        <w:tc>
          <w:tcPr>
            <w:tcW w:w="1169" w:type="dxa"/>
            <w:tcBorders>
              <w:tl2br w:val="nil"/>
              <w:tr2bl w:val="nil"/>
            </w:tcBorders>
            <w:noWrap w:val="0"/>
            <w:vAlign w:val="center"/>
          </w:tcPr>
          <w:p w14:paraId="72001AE9">
            <w:pPr>
              <w:jc w:val="center"/>
              <w:rPr>
                <w:rFonts w:ascii="方正仿宋_GBK" w:hAnsi="方正仿宋_GBK" w:eastAsia="方正仿宋_GBK" w:cs="方正仿宋_GBK"/>
                <w:sz w:val="28"/>
                <w:szCs w:val="28"/>
              </w:rPr>
            </w:pPr>
          </w:p>
        </w:tc>
        <w:tc>
          <w:tcPr>
            <w:tcW w:w="2731" w:type="dxa"/>
            <w:tcBorders>
              <w:tl2br w:val="nil"/>
              <w:tr2bl w:val="nil"/>
            </w:tcBorders>
            <w:noWrap w:val="0"/>
            <w:vAlign w:val="center"/>
          </w:tcPr>
          <w:p w14:paraId="7E459499">
            <w:pPr>
              <w:jc w:val="center"/>
              <w:rPr>
                <w:rFonts w:ascii="方正仿宋_GBK" w:hAnsi="方正仿宋_GBK" w:eastAsia="方正仿宋_GBK" w:cs="方正仿宋_GBK"/>
                <w:sz w:val="28"/>
                <w:szCs w:val="28"/>
              </w:rPr>
            </w:pPr>
          </w:p>
        </w:tc>
        <w:tc>
          <w:tcPr>
            <w:tcW w:w="2107" w:type="dxa"/>
            <w:tcBorders>
              <w:tl2br w:val="nil"/>
              <w:tr2bl w:val="nil"/>
            </w:tcBorders>
            <w:noWrap w:val="0"/>
            <w:vAlign w:val="center"/>
          </w:tcPr>
          <w:p w14:paraId="3FE06AE0">
            <w:pPr>
              <w:jc w:val="center"/>
              <w:rPr>
                <w:rFonts w:ascii="方正仿宋_GBK" w:hAnsi="方正仿宋_GBK" w:eastAsia="方正仿宋_GBK" w:cs="方正仿宋_GBK"/>
                <w:sz w:val="28"/>
                <w:szCs w:val="28"/>
              </w:rPr>
            </w:pPr>
          </w:p>
        </w:tc>
        <w:tc>
          <w:tcPr>
            <w:tcW w:w="1730" w:type="dxa"/>
            <w:tcBorders>
              <w:tl2br w:val="nil"/>
              <w:tr2bl w:val="nil"/>
            </w:tcBorders>
            <w:noWrap w:val="0"/>
            <w:vAlign w:val="center"/>
          </w:tcPr>
          <w:p w14:paraId="5C7F5F87">
            <w:pPr>
              <w:jc w:val="center"/>
              <w:rPr>
                <w:rFonts w:ascii="方正仿宋_GBK" w:hAnsi="方正仿宋_GBK" w:eastAsia="方正仿宋_GBK" w:cs="方正仿宋_GBK"/>
                <w:sz w:val="28"/>
                <w:szCs w:val="28"/>
              </w:rPr>
            </w:pPr>
          </w:p>
        </w:tc>
      </w:tr>
    </w:tbl>
    <w:p w14:paraId="0CECF344">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注：1.供应商必须把招标项目的全部技术、服务要求列入此表。</w:t>
      </w:r>
    </w:p>
    <w:p w14:paraId="69D371B6">
      <w:pPr>
        <w:spacing w:line="360" w:lineRule="auto"/>
        <w:ind w:firstLine="1120" w:firstLineChars="4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2.供应商必须据实填写，不得虚假填写，否则将取消其投标或中标资格。</w:t>
      </w:r>
    </w:p>
    <w:p w14:paraId="29C41877">
      <w:pPr>
        <w:spacing w:line="360" w:lineRule="auto"/>
        <w:ind w:firstLine="1120" w:firstLineChars="4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3.偏离情况填写“正偏离”、“负偏离”、“无偏离”。</w:t>
      </w:r>
    </w:p>
    <w:p w14:paraId="4548D0A7">
      <w:pPr>
        <w:spacing w:line="560" w:lineRule="exact"/>
        <w:rPr>
          <w:rFonts w:ascii="方正仿宋_GBK" w:hAnsi="方正仿宋_GBK" w:eastAsia="方正仿宋_GBK" w:cs="方正仿宋_GBK"/>
          <w:kern w:val="0"/>
          <w:sz w:val="28"/>
          <w:szCs w:val="28"/>
        </w:rPr>
      </w:pPr>
    </w:p>
    <w:p w14:paraId="76950847">
      <w:pPr>
        <w:spacing w:line="560" w:lineRule="exact"/>
        <w:rPr>
          <w:rFonts w:ascii="方正仿宋_GBK" w:hAnsi="方正仿宋_GBK" w:eastAsia="方正仿宋_GBK" w:cs="方正仿宋_GBK"/>
          <w:kern w:val="0"/>
          <w:sz w:val="28"/>
          <w:szCs w:val="28"/>
        </w:rPr>
      </w:pPr>
    </w:p>
    <w:p w14:paraId="2EDEA0D9">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（加盖供应商公章）</w:t>
      </w:r>
    </w:p>
    <w:p w14:paraId="4AE0D53D">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kern w:val="0"/>
          <w:sz w:val="28"/>
          <w:szCs w:val="28"/>
        </w:rPr>
        <w:t>：</w:t>
      </w:r>
    </w:p>
    <w:p w14:paraId="25546EBB">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日期：</w:t>
      </w:r>
    </w:p>
    <w:p w14:paraId="06F7E07D">
      <w:pPr>
        <w:widowControl/>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br w:type="page"/>
      </w:r>
      <w:bookmarkStart w:id="21" w:name="_Toc22567"/>
      <w:r>
        <w:rPr>
          <w:rFonts w:hint="eastAsia" w:ascii="方正仿宋_GBK" w:hAnsi="方正仿宋_GBK" w:eastAsia="方正仿宋_GBK" w:cs="方正仿宋_GBK"/>
          <w:b/>
          <w:bCs/>
          <w:sz w:val="28"/>
          <w:szCs w:val="28"/>
        </w:rPr>
        <w:t>商务应答表</w:t>
      </w:r>
      <w:bookmarkEnd w:id="21"/>
    </w:p>
    <w:p w14:paraId="6224453B">
      <w:pPr>
        <w:pStyle w:val="7"/>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项目编号：</w:t>
      </w:r>
    </w:p>
    <w:tbl>
      <w:tblPr>
        <w:tblStyle w:val="30"/>
        <w:tblW w:w="8679"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6"/>
        <w:gridCol w:w="2654"/>
        <w:gridCol w:w="2926"/>
        <w:gridCol w:w="2503"/>
      </w:tblGrid>
      <w:tr w14:paraId="679A22AC">
        <w:tblPrEx>
          <w:tblCellMar>
            <w:top w:w="0" w:type="dxa"/>
            <w:left w:w="0" w:type="dxa"/>
            <w:bottom w:w="0" w:type="dxa"/>
            <w:right w:w="0" w:type="dxa"/>
          </w:tblCellMar>
        </w:tblPrEx>
        <w:trPr>
          <w:trHeight w:val="724" w:hRule="atLeast"/>
        </w:trPr>
        <w:tc>
          <w:tcPr>
            <w:tcW w:w="596" w:type="dxa"/>
            <w:tcBorders>
              <w:tl2br w:val="nil"/>
              <w:tr2bl w:val="nil"/>
            </w:tcBorders>
            <w:noWrap w:val="0"/>
            <w:vAlign w:val="center"/>
          </w:tcPr>
          <w:p w14:paraId="6CB6218B">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2654" w:type="dxa"/>
            <w:tcBorders>
              <w:tl2br w:val="nil"/>
              <w:tr2bl w:val="nil"/>
            </w:tcBorders>
            <w:noWrap w:val="0"/>
            <w:vAlign w:val="center"/>
          </w:tcPr>
          <w:p w14:paraId="566AA14D">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竞争性磋商文件要求</w:t>
            </w:r>
          </w:p>
        </w:tc>
        <w:tc>
          <w:tcPr>
            <w:tcW w:w="2926" w:type="dxa"/>
            <w:tcBorders>
              <w:tl2br w:val="nil"/>
              <w:tr2bl w:val="nil"/>
            </w:tcBorders>
            <w:noWrap w:val="0"/>
            <w:vAlign w:val="center"/>
          </w:tcPr>
          <w:p w14:paraId="4149A563">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响应文件响应</w:t>
            </w:r>
          </w:p>
        </w:tc>
        <w:tc>
          <w:tcPr>
            <w:tcW w:w="2503" w:type="dxa"/>
            <w:tcBorders>
              <w:tl2br w:val="nil"/>
              <w:tr2bl w:val="nil"/>
            </w:tcBorders>
            <w:noWrap w:val="0"/>
            <w:vAlign w:val="center"/>
          </w:tcPr>
          <w:p w14:paraId="525AAF63">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偏离情况</w:t>
            </w:r>
          </w:p>
        </w:tc>
      </w:tr>
      <w:tr w14:paraId="0C8832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noWrap w:val="0"/>
            <w:vAlign w:val="center"/>
          </w:tcPr>
          <w:p w14:paraId="0BC5A9DD">
            <w:pPr>
              <w:jc w:val="center"/>
              <w:rPr>
                <w:rFonts w:ascii="方正仿宋_GBK" w:hAnsi="方正仿宋_GBK" w:eastAsia="方正仿宋_GBK" w:cs="方正仿宋_GBK"/>
                <w:sz w:val="28"/>
                <w:szCs w:val="28"/>
              </w:rPr>
            </w:pPr>
          </w:p>
        </w:tc>
        <w:tc>
          <w:tcPr>
            <w:tcW w:w="2654" w:type="dxa"/>
            <w:tcBorders>
              <w:tl2br w:val="nil"/>
              <w:tr2bl w:val="nil"/>
            </w:tcBorders>
            <w:noWrap w:val="0"/>
            <w:vAlign w:val="center"/>
          </w:tcPr>
          <w:p w14:paraId="7EB918CE">
            <w:pPr>
              <w:jc w:val="center"/>
              <w:rPr>
                <w:rFonts w:ascii="方正仿宋_GBK" w:hAnsi="方正仿宋_GBK" w:eastAsia="方正仿宋_GBK" w:cs="方正仿宋_GBK"/>
                <w:sz w:val="28"/>
                <w:szCs w:val="28"/>
              </w:rPr>
            </w:pPr>
          </w:p>
        </w:tc>
        <w:tc>
          <w:tcPr>
            <w:tcW w:w="2926" w:type="dxa"/>
            <w:tcBorders>
              <w:tl2br w:val="nil"/>
              <w:tr2bl w:val="nil"/>
            </w:tcBorders>
            <w:noWrap w:val="0"/>
            <w:vAlign w:val="center"/>
          </w:tcPr>
          <w:p w14:paraId="798A176A">
            <w:pPr>
              <w:jc w:val="center"/>
              <w:rPr>
                <w:rFonts w:ascii="方正仿宋_GBK" w:hAnsi="方正仿宋_GBK" w:eastAsia="方正仿宋_GBK" w:cs="方正仿宋_GBK"/>
                <w:sz w:val="28"/>
                <w:szCs w:val="28"/>
              </w:rPr>
            </w:pPr>
          </w:p>
        </w:tc>
        <w:tc>
          <w:tcPr>
            <w:tcW w:w="2503" w:type="dxa"/>
            <w:tcBorders>
              <w:tl2br w:val="nil"/>
              <w:tr2bl w:val="nil"/>
            </w:tcBorders>
            <w:noWrap w:val="0"/>
            <w:vAlign w:val="center"/>
          </w:tcPr>
          <w:p w14:paraId="4932CE41">
            <w:pPr>
              <w:jc w:val="center"/>
              <w:rPr>
                <w:rFonts w:ascii="方正仿宋_GBK" w:hAnsi="方正仿宋_GBK" w:eastAsia="方正仿宋_GBK" w:cs="方正仿宋_GBK"/>
                <w:sz w:val="28"/>
                <w:szCs w:val="28"/>
              </w:rPr>
            </w:pPr>
          </w:p>
        </w:tc>
      </w:tr>
      <w:tr w14:paraId="5C3D2D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noWrap w:val="0"/>
            <w:vAlign w:val="center"/>
          </w:tcPr>
          <w:p w14:paraId="6E68668F">
            <w:pPr>
              <w:jc w:val="center"/>
              <w:rPr>
                <w:rFonts w:ascii="方正仿宋_GBK" w:hAnsi="方正仿宋_GBK" w:eastAsia="方正仿宋_GBK" w:cs="方正仿宋_GBK"/>
                <w:sz w:val="28"/>
                <w:szCs w:val="28"/>
              </w:rPr>
            </w:pPr>
          </w:p>
        </w:tc>
        <w:tc>
          <w:tcPr>
            <w:tcW w:w="2654" w:type="dxa"/>
            <w:tcBorders>
              <w:tl2br w:val="nil"/>
              <w:tr2bl w:val="nil"/>
            </w:tcBorders>
            <w:noWrap w:val="0"/>
            <w:vAlign w:val="center"/>
          </w:tcPr>
          <w:p w14:paraId="485CA017">
            <w:pPr>
              <w:jc w:val="center"/>
              <w:rPr>
                <w:rFonts w:ascii="方正仿宋_GBK" w:hAnsi="方正仿宋_GBK" w:eastAsia="方正仿宋_GBK" w:cs="方正仿宋_GBK"/>
                <w:sz w:val="28"/>
                <w:szCs w:val="28"/>
              </w:rPr>
            </w:pPr>
          </w:p>
        </w:tc>
        <w:tc>
          <w:tcPr>
            <w:tcW w:w="2926" w:type="dxa"/>
            <w:tcBorders>
              <w:tl2br w:val="nil"/>
              <w:tr2bl w:val="nil"/>
            </w:tcBorders>
            <w:noWrap w:val="0"/>
            <w:vAlign w:val="center"/>
          </w:tcPr>
          <w:p w14:paraId="54261BCE">
            <w:pPr>
              <w:jc w:val="center"/>
              <w:rPr>
                <w:rFonts w:ascii="方正仿宋_GBK" w:hAnsi="方正仿宋_GBK" w:eastAsia="方正仿宋_GBK" w:cs="方正仿宋_GBK"/>
                <w:sz w:val="28"/>
                <w:szCs w:val="28"/>
              </w:rPr>
            </w:pPr>
          </w:p>
        </w:tc>
        <w:tc>
          <w:tcPr>
            <w:tcW w:w="2503" w:type="dxa"/>
            <w:tcBorders>
              <w:tl2br w:val="nil"/>
              <w:tr2bl w:val="nil"/>
            </w:tcBorders>
            <w:noWrap w:val="0"/>
            <w:vAlign w:val="center"/>
          </w:tcPr>
          <w:p w14:paraId="51040AFA">
            <w:pPr>
              <w:jc w:val="center"/>
              <w:rPr>
                <w:rFonts w:ascii="方正仿宋_GBK" w:hAnsi="方正仿宋_GBK" w:eastAsia="方正仿宋_GBK" w:cs="方正仿宋_GBK"/>
                <w:sz w:val="28"/>
                <w:szCs w:val="28"/>
              </w:rPr>
            </w:pPr>
          </w:p>
        </w:tc>
      </w:tr>
      <w:tr w14:paraId="5962B4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noWrap w:val="0"/>
            <w:vAlign w:val="center"/>
          </w:tcPr>
          <w:p w14:paraId="220D7484">
            <w:pPr>
              <w:jc w:val="center"/>
              <w:rPr>
                <w:rFonts w:ascii="方正仿宋_GBK" w:hAnsi="方正仿宋_GBK" w:eastAsia="方正仿宋_GBK" w:cs="方正仿宋_GBK"/>
                <w:sz w:val="28"/>
                <w:szCs w:val="28"/>
              </w:rPr>
            </w:pPr>
          </w:p>
        </w:tc>
        <w:tc>
          <w:tcPr>
            <w:tcW w:w="2654" w:type="dxa"/>
            <w:tcBorders>
              <w:tl2br w:val="nil"/>
              <w:tr2bl w:val="nil"/>
            </w:tcBorders>
            <w:noWrap w:val="0"/>
            <w:vAlign w:val="center"/>
          </w:tcPr>
          <w:p w14:paraId="231B0D19">
            <w:pPr>
              <w:jc w:val="center"/>
              <w:rPr>
                <w:rFonts w:ascii="方正仿宋_GBK" w:hAnsi="方正仿宋_GBK" w:eastAsia="方正仿宋_GBK" w:cs="方正仿宋_GBK"/>
                <w:sz w:val="28"/>
                <w:szCs w:val="28"/>
              </w:rPr>
            </w:pPr>
          </w:p>
        </w:tc>
        <w:tc>
          <w:tcPr>
            <w:tcW w:w="2926" w:type="dxa"/>
            <w:tcBorders>
              <w:tl2br w:val="nil"/>
              <w:tr2bl w:val="nil"/>
            </w:tcBorders>
            <w:noWrap w:val="0"/>
            <w:vAlign w:val="center"/>
          </w:tcPr>
          <w:p w14:paraId="5D7F9DCC">
            <w:pPr>
              <w:jc w:val="center"/>
              <w:rPr>
                <w:rFonts w:ascii="方正仿宋_GBK" w:hAnsi="方正仿宋_GBK" w:eastAsia="方正仿宋_GBK" w:cs="方正仿宋_GBK"/>
                <w:sz w:val="28"/>
                <w:szCs w:val="28"/>
              </w:rPr>
            </w:pPr>
          </w:p>
        </w:tc>
        <w:tc>
          <w:tcPr>
            <w:tcW w:w="2503" w:type="dxa"/>
            <w:tcBorders>
              <w:tl2br w:val="nil"/>
              <w:tr2bl w:val="nil"/>
            </w:tcBorders>
            <w:noWrap w:val="0"/>
            <w:vAlign w:val="center"/>
          </w:tcPr>
          <w:p w14:paraId="3224D56C">
            <w:pPr>
              <w:jc w:val="center"/>
              <w:rPr>
                <w:rFonts w:ascii="方正仿宋_GBK" w:hAnsi="方正仿宋_GBK" w:eastAsia="方正仿宋_GBK" w:cs="方正仿宋_GBK"/>
                <w:sz w:val="28"/>
                <w:szCs w:val="28"/>
              </w:rPr>
            </w:pPr>
          </w:p>
        </w:tc>
      </w:tr>
      <w:tr w14:paraId="6E6B00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noWrap w:val="0"/>
            <w:vAlign w:val="center"/>
          </w:tcPr>
          <w:p w14:paraId="553D891A">
            <w:pPr>
              <w:jc w:val="center"/>
              <w:rPr>
                <w:rFonts w:ascii="方正仿宋_GBK" w:hAnsi="方正仿宋_GBK" w:eastAsia="方正仿宋_GBK" w:cs="方正仿宋_GBK"/>
                <w:sz w:val="28"/>
                <w:szCs w:val="28"/>
              </w:rPr>
            </w:pPr>
          </w:p>
        </w:tc>
        <w:tc>
          <w:tcPr>
            <w:tcW w:w="2654" w:type="dxa"/>
            <w:tcBorders>
              <w:tl2br w:val="nil"/>
              <w:tr2bl w:val="nil"/>
            </w:tcBorders>
            <w:noWrap w:val="0"/>
            <w:vAlign w:val="center"/>
          </w:tcPr>
          <w:p w14:paraId="6F7D0537">
            <w:pPr>
              <w:jc w:val="center"/>
              <w:rPr>
                <w:rFonts w:ascii="方正仿宋_GBK" w:hAnsi="方正仿宋_GBK" w:eastAsia="方正仿宋_GBK" w:cs="方正仿宋_GBK"/>
                <w:sz w:val="28"/>
                <w:szCs w:val="28"/>
              </w:rPr>
            </w:pPr>
          </w:p>
        </w:tc>
        <w:tc>
          <w:tcPr>
            <w:tcW w:w="2926" w:type="dxa"/>
            <w:tcBorders>
              <w:tl2br w:val="nil"/>
              <w:tr2bl w:val="nil"/>
            </w:tcBorders>
            <w:noWrap w:val="0"/>
            <w:vAlign w:val="center"/>
          </w:tcPr>
          <w:p w14:paraId="16E9A5D1">
            <w:pPr>
              <w:jc w:val="center"/>
              <w:rPr>
                <w:rFonts w:ascii="方正仿宋_GBK" w:hAnsi="方正仿宋_GBK" w:eastAsia="方正仿宋_GBK" w:cs="方正仿宋_GBK"/>
                <w:sz w:val="28"/>
                <w:szCs w:val="28"/>
              </w:rPr>
            </w:pPr>
          </w:p>
        </w:tc>
        <w:tc>
          <w:tcPr>
            <w:tcW w:w="2503" w:type="dxa"/>
            <w:tcBorders>
              <w:tl2br w:val="nil"/>
              <w:tr2bl w:val="nil"/>
            </w:tcBorders>
            <w:noWrap w:val="0"/>
            <w:vAlign w:val="center"/>
          </w:tcPr>
          <w:p w14:paraId="6ECAD3A0">
            <w:pPr>
              <w:jc w:val="center"/>
              <w:rPr>
                <w:rFonts w:ascii="方正仿宋_GBK" w:hAnsi="方正仿宋_GBK" w:eastAsia="方正仿宋_GBK" w:cs="方正仿宋_GBK"/>
                <w:sz w:val="28"/>
                <w:szCs w:val="28"/>
              </w:rPr>
            </w:pPr>
          </w:p>
        </w:tc>
      </w:tr>
      <w:tr w14:paraId="67BF9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noWrap w:val="0"/>
            <w:vAlign w:val="center"/>
          </w:tcPr>
          <w:p w14:paraId="04292BCA">
            <w:pPr>
              <w:jc w:val="center"/>
              <w:rPr>
                <w:rFonts w:ascii="方正仿宋_GBK" w:hAnsi="方正仿宋_GBK" w:eastAsia="方正仿宋_GBK" w:cs="方正仿宋_GBK"/>
                <w:sz w:val="28"/>
                <w:szCs w:val="28"/>
              </w:rPr>
            </w:pPr>
          </w:p>
        </w:tc>
        <w:tc>
          <w:tcPr>
            <w:tcW w:w="2654" w:type="dxa"/>
            <w:tcBorders>
              <w:tl2br w:val="nil"/>
              <w:tr2bl w:val="nil"/>
            </w:tcBorders>
            <w:noWrap w:val="0"/>
            <w:vAlign w:val="center"/>
          </w:tcPr>
          <w:p w14:paraId="0AE6F2FF">
            <w:pPr>
              <w:jc w:val="center"/>
              <w:rPr>
                <w:rFonts w:ascii="方正仿宋_GBK" w:hAnsi="方正仿宋_GBK" w:eastAsia="方正仿宋_GBK" w:cs="方正仿宋_GBK"/>
                <w:sz w:val="28"/>
                <w:szCs w:val="28"/>
              </w:rPr>
            </w:pPr>
          </w:p>
        </w:tc>
        <w:tc>
          <w:tcPr>
            <w:tcW w:w="2926" w:type="dxa"/>
            <w:tcBorders>
              <w:tl2br w:val="nil"/>
              <w:tr2bl w:val="nil"/>
            </w:tcBorders>
            <w:noWrap w:val="0"/>
            <w:vAlign w:val="center"/>
          </w:tcPr>
          <w:p w14:paraId="2F8D6C87">
            <w:pPr>
              <w:jc w:val="center"/>
              <w:rPr>
                <w:rFonts w:ascii="方正仿宋_GBK" w:hAnsi="方正仿宋_GBK" w:eastAsia="方正仿宋_GBK" w:cs="方正仿宋_GBK"/>
                <w:sz w:val="28"/>
                <w:szCs w:val="28"/>
              </w:rPr>
            </w:pPr>
          </w:p>
        </w:tc>
        <w:tc>
          <w:tcPr>
            <w:tcW w:w="2503" w:type="dxa"/>
            <w:tcBorders>
              <w:tl2br w:val="nil"/>
              <w:tr2bl w:val="nil"/>
            </w:tcBorders>
            <w:noWrap w:val="0"/>
            <w:vAlign w:val="center"/>
          </w:tcPr>
          <w:p w14:paraId="1D20D498">
            <w:pPr>
              <w:jc w:val="center"/>
              <w:rPr>
                <w:rFonts w:ascii="方正仿宋_GBK" w:hAnsi="方正仿宋_GBK" w:eastAsia="方正仿宋_GBK" w:cs="方正仿宋_GBK"/>
                <w:sz w:val="28"/>
                <w:szCs w:val="28"/>
              </w:rPr>
            </w:pPr>
          </w:p>
        </w:tc>
      </w:tr>
      <w:tr w14:paraId="500663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noWrap w:val="0"/>
            <w:vAlign w:val="center"/>
          </w:tcPr>
          <w:p w14:paraId="78AA5A9A">
            <w:pPr>
              <w:jc w:val="center"/>
              <w:rPr>
                <w:rFonts w:ascii="方正仿宋_GBK" w:hAnsi="方正仿宋_GBK" w:eastAsia="方正仿宋_GBK" w:cs="方正仿宋_GBK"/>
                <w:sz w:val="28"/>
                <w:szCs w:val="28"/>
              </w:rPr>
            </w:pPr>
          </w:p>
        </w:tc>
        <w:tc>
          <w:tcPr>
            <w:tcW w:w="2654" w:type="dxa"/>
            <w:tcBorders>
              <w:tl2br w:val="nil"/>
              <w:tr2bl w:val="nil"/>
            </w:tcBorders>
            <w:noWrap w:val="0"/>
            <w:vAlign w:val="center"/>
          </w:tcPr>
          <w:p w14:paraId="6ABF95BA">
            <w:pPr>
              <w:jc w:val="center"/>
              <w:rPr>
                <w:rFonts w:ascii="方正仿宋_GBK" w:hAnsi="方正仿宋_GBK" w:eastAsia="方正仿宋_GBK" w:cs="方正仿宋_GBK"/>
                <w:sz w:val="28"/>
                <w:szCs w:val="28"/>
              </w:rPr>
            </w:pPr>
          </w:p>
        </w:tc>
        <w:tc>
          <w:tcPr>
            <w:tcW w:w="2926" w:type="dxa"/>
            <w:tcBorders>
              <w:tl2br w:val="nil"/>
              <w:tr2bl w:val="nil"/>
            </w:tcBorders>
            <w:noWrap w:val="0"/>
            <w:vAlign w:val="center"/>
          </w:tcPr>
          <w:p w14:paraId="355A12A9">
            <w:pPr>
              <w:jc w:val="center"/>
              <w:rPr>
                <w:rFonts w:ascii="方正仿宋_GBK" w:hAnsi="方正仿宋_GBK" w:eastAsia="方正仿宋_GBK" w:cs="方正仿宋_GBK"/>
                <w:sz w:val="28"/>
                <w:szCs w:val="28"/>
              </w:rPr>
            </w:pPr>
          </w:p>
        </w:tc>
        <w:tc>
          <w:tcPr>
            <w:tcW w:w="2503" w:type="dxa"/>
            <w:tcBorders>
              <w:tl2br w:val="nil"/>
              <w:tr2bl w:val="nil"/>
            </w:tcBorders>
            <w:noWrap w:val="0"/>
            <w:vAlign w:val="center"/>
          </w:tcPr>
          <w:p w14:paraId="64178AF4">
            <w:pPr>
              <w:jc w:val="center"/>
              <w:rPr>
                <w:rFonts w:ascii="方正仿宋_GBK" w:hAnsi="方正仿宋_GBK" w:eastAsia="方正仿宋_GBK" w:cs="方正仿宋_GBK"/>
                <w:sz w:val="28"/>
                <w:szCs w:val="28"/>
              </w:rPr>
            </w:pPr>
          </w:p>
        </w:tc>
      </w:tr>
      <w:tr w14:paraId="21606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596" w:type="dxa"/>
            <w:tcBorders>
              <w:tl2br w:val="nil"/>
              <w:tr2bl w:val="nil"/>
            </w:tcBorders>
            <w:noWrap w:val="0"/>
            <w:vAlign w:val="center"/>
          </w:tcPr>
          <w:p w14:paraId="39EF5A3E">
            <w:pPr>
              <w:jc w:val="center"/>
              <w:rPr>
                <w:rFonts w:ascii="方正仿宋_GBK" w:hAnsi="方正仿宋_GBK" w:eastAsia="方正仿宋_GBK" w:cs="方正仿宋_GBK"/>
                <w:sz w:val="28"/>
                <w:szCs w:val="28"/>
              </w:rPr>
            </w:pPr>
          </w:p>
        </w:tc>
        <w:tc>
          <w:tcPr>
            <w:tcW w:w="2654" w:type="dxa"/>
            <w:tcBorders>
              <w:tl2br w:val="nil"/>
              <w:tr2bl w:val="nil"/>
            </w:tcBorders>
            <w:noWrap w:val="0"/>
            <w:vAlign w:val="center"/>
          </w:tcPr>
          <w:p w14:paraId="5CD47B5E">
            <w:pPr>
              <w:jc w:val="center"/>
              <w:rPr>
                <w:rFonts w:ascii="方正仿宋_GBK" w:hAnsi="方正仿宋_GBK" w:eastAsia="方正仿宋_GBK" w:cs="方正仿宋_GBK"/>
                <w:sz w:val="28"/>
                <w:szCs w:val="28"/>
              </w:rPr>
            </w:pPr>
          </w:p>
        </w:tc>
        <w:tc>
          <w:tcPr>
            <w:tcW w:w="2926" w:type="dxa"/>
            <w:tcBorders>
              <w:tl2br w:val="nil"/>
              <w:tr2bl w:val="nil"/>
            </w:tcBorders>
            <w:noWrap w:val="0"/>
            <w:vAlign w:val="center"/>
          </w:tcPr>
          <w:p w14:paraId="1C892E42">
            <w:pPr>
              <w:jc w:val="center"/>
              <w:rPr>
                <w:rFonts w:ascii="方正仿宋_GBK" w:hAnsi="方正仿宋_GBK" w:eastAsia="方正仿宋_GBK" w:cs="方正仿宋_GBK"/>
                <w:sz w:val="28"/>
                <w:szCs w:val="28"/>
              </w:rPr>
            </w:pPr>
          </w:p>
        </w:tc>
        <w:tc>
          <w:tcPr>
            <w:tcW w:w="2503" w:type="dxa"/>
            <w:tcBorders>
              <w:tl2br w:val="nil"/>
              <w:tr2bl w:val="nil"/>
            </w:tcBorders>
            <w:noWrap w:val="0"/>
            <w:vAlign w:val="center"/>
          </w:tcPr>
          <w:p w14:paraId="0A1EDA60">
            <w:pPr>
              <w:jc w:val="center"/>
              <w:rPr>
                <w:rFonts w:ascii="方正仿宋_GBK" w:hAnsi="方正仿宋_GBK" w:eastAsia="方正仿宋_GBK" w:cs="方正仿宋_GBK"/>
                <w:sz w:val="28"/>
                <w:szCs w:val="28"/>
              </w:rPr>
            </w:pPr>
          </w:p>
        </w:tc>
      </w:tr>
    </w:tbl>
    <w:p w14:paraId="7682ED8B">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注：1.供应商必须把招标项目的全部商务要求列入此表。</w:t>
      </w:r>
    </w:p>
    <w:p w14:paraId="44989F48">
      <w:pPr>
        <w:spacing w:line="360" w:lineRule="auto"/>
        <w:ind w:firstLine="1120" w:firstLineChars="4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2.供应商必须据实填写，不得虚假填写，否则将取消其投标或中标资格。</w:t>
      </w:r>
    </w:p>
    <w:p w14:paraId="1ECA404D">
      <w:pPr>
        <w:spacing w:line="460" w:lineRule="atLeast"/>
        <w:ind w:firstLine="1120" w:firstLineChars="400"/>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3.偏离情况填写“正偏离”、“负偏离”、“无偏离”</w:t>
      </w:r>
    </w:p>
    <w:p w14:paraId="53F37594">
      <w:pPr>
        <w:spacing w:line="560" w:lineRule="exact"/>
        <w:rPr>
          <w:rFonts w:ascii="方正仿宋_GBK" w:hAnsi="方正仿宋_GBK" w:eastAsia="方正仿宋_GBK" w:cs="方正仿宋_GBK"/>
          <w:kern w:val="0"/>
          <w:sz w:val="28"/>
          <w:szCs w:val="28"/>
        </w:rPr>
      </w:pPr>
    </w:p>
    <w:p w14:paraId="49193955">
      <w:pPr>
        <w:spacing w:line="560" w:lineRule="exact"/>
        <w:rPr>
          <w:rFonts w:ascii="方正仿宋_GBK" w:hAnsi="方正仿宋_GBK" w:eastAsia="方正仿宋_GBK" w:cs="方正仿宋_GBK"/>
          <w:kern w:val="0"/>
          <w:sz w:val="28"/>
          <w:szCs w:val="28"/>
        </w:rPr>
      </w:pPr>
    </w:p>
    <w:p w14:paraId="2920E6F0">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（加盖供应商公章）</w:t>
      </w:r>
    </w:p>
    <w:p w14:paraId="3E229D0D">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kern w:val="0"/>
          <w:sz w:val="28"/>
          <w:szCs w:val="28"/>
        </w:rPr>
        <w:t>：</w:t>
      </w:r>
    </w:p>
    <w:p w14:paraId="029A5DFC">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日期：</w:t>
      </w:r>
    </w:p>
    <w:p w14:paraId="5EE54422">
      <w:pPr>
        <w:pStyle w:val="7"/>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br w:type="page"/>
      </w:r>
    </w:p>
    <w:p w14:paraId="1627E5BE">
      <w:pPr>
        <w:pStyle w:val="4"/>
        <w:jc w:val="center"/>
      </w:pPr>
      <w:bookmarkStart w:id="22" w:name="_Toc12867"/>
      <w:r>
        <w:t>供应商基本情况表</w:t>
      </w:r>
      <w:bookmarkEnd w:id="22"/>
    </w:p>
    <w:tbl>
      <w:tblPr>
        <w:tblStyle w:val="3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09"/>
        <w:gridCol w:w="284"/>
        <w:gridCol w:w="1582"/>
        <w:gridCol w:w="544"/>
        <w:gridCol w:w="664"/>
        <w:gridCol w:w="328"/>
        <w:gridCol w:w="567"/>
        <w:gridCol w:w="785"/>
        <w:gridCol w:w="207"/>
        <w:gridCol w:w="851"/>
      </w:tblGrid>
      <w:tr w14:paraId="0B1CD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14:paraId="46B5E6A7">
            <w:pPr>
              <w:spacing w:line="360" w:lineRule="auto"/>
              <w:jc w:val="center"/>
              <w:rPr>
                <w:rFonts w:cs="方正仿宋_GBK"/>
                <w:sz w:val="24"/>
                <w:szCs w:val="24"/>
              </w:rPr>
            </w:pPr>
            <w:r>
              <w:rPr>
                <w:rFonts w:hint="eastAsia" w:ascii="方正仿宋_GBK" w:hAnsi="方正仿宋_GBK" w:eastAsia="方正仿宋_GBK" w:cs="方正仿宋_GBK"/>
                <w:sz w:val="24"/>
                <w:szCs w:val="24"/>
              </w:rPr>
              <w:t>供应商名称</w:t>
            </w:r>
          </w:p>
        </w:tc>
        <w:tc>
          <w:tcPr>
            <w:tcW w:w="6521" w:type="dxa"/>
            <w:gridSpan w:val="10"/>
            <w:tcBorders>
              <w:top w:val="single" w:color="auto" w:sz="4" w:space="0"/>
              <w:left w:val="single" w:color="auto" w:sz="4" w:space="0"/>
              <w:bottom w:val="single" w:color="auto" w:sz="4" w:space="0"/>
              <w:right w:val="single" w:color="auto" w:sz="4" w:space="0"/>
            </w:tcBorders>
            <w:noWrap w:val="0"/>
            <w:vAlign w:val="center"/>
          </w:tcPr>
          <w:p w14:paraId="483DFE46">
            <w:pPr>
              <w:spacing w:line="360" w:lineRule="auto"/>
              <w:jc w:val="center"/>
              <w:rPr>
                <w:rFonts w:cs="方正仿宋_GBK"/>
                <w:sz w:val="24"/>
                <w:szCs w:val="24"/>
              </w:rPr>
            </w:pPr>
          </w:p>
        </w:tc>
      </w:tr>
      <w:tr w14:paraId="431AA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3"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14:paraId="50C08D68">
            <w:pPr>
              <w:spacing w:line="360" w:lineRule="auto"/>
              <w:jc w:val="center"/>
              <w:rPr>
                <w:rFonts w:cs="方正仿宋_GBK"/>
                <w:sz w:val="24"/>
                <w:szCs w:val="24"/>
              </w:rPr>
            </w:pPr>
            <w:r>
              <w:rPr>
                <w:rFonts w:hint="eastAsia" w:ascii="方正仿宋_GBK" w:hAnsi="方正仿宋_GBK" w:eastAsia="方正仿宋_GBK" w:cs="方正仿宋_GBK"/>
                <w:sz w:val="24"/>
                <w:szCs w:val="24"/>
              </w:rPr>
              <w:t>注册地址</w:t>
            </w:r>
          </w:p>
        </w:tc>
        <w:tc>
          <w:tcPr>
            <w:tcW w:w="3119" w:type="dxa"/>
            <w:gridSpan w:val="4"/>
            <w:tcBorders>
              <w:top w:val="single" w:color="auto" w:sz="4" w:space="0"/>
              <w:left w:val="single" w:color="auto" w:sz="4" w:space="0"/>
              <w:bottom w:val="single" w:color="auto" w:sz="4" w:space="0"/>
              <w:right w:val="single" w:color="auto" w:sz="4" w:space="0"/>
            </w:tcBorders>
            <w:noWrap w:val="0"/>
            <w:vAlign w:val="center"/>
          </w:tcPr>
          <w:p w14:paraId="637013CB">
            <w:pPr>
              <w:spacing w:line="360" w:lineRule="auto"/>
              <w:jc w:val="center"/>
              <w:rPr>
                <w:rFonts w:cs="方正仿宋_GBK"/>
                <w:sz w:val="24"/>
                <w:szCs w:val="24"/>
              </w:rPr>
            </w:pP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14:paraId="17BAED71">
            <w:pPr>
              <w:spacing w:line="360" w:lineRule="auto"/>
              <w:jc w:val="center"/>
              <w:rPr>
                <w:rFonts w:cs="方正仿宋_GBK"/>
                <w:sz w:val="24"/>
                <w:szCs w:val="24"/>
              </w:rPr>
            </w:pPr>
            <w:r>
              <w:rPr>
                <w:rFonts w:hint="eastAsia" w:ascii="方正仿宋_GBK" w:hAnsi="方正仿宋_GBK" w:eastAsia="方正仿宋_GBK" w:cs="方正仿宋_GBK"/>
                <w:sz w:val="24"/>
                <w:szCs w:val="24"/>
              </w:rPr>
              <w:t>邮政编码</w:t>
            </w:r>
          </w:p>
        </w:tc>
        <w:tc>
          <w:tcPr>
            <w:tcW w:w="2410" w:type="dxa"/>
            <w:gridSpan w:val="4"/>
            <w:tcBorders>
              <w:top w:val="single" w:color="auto" w:sz="4" w:space="0"/>
              <w:left w:val="single" w:color="auto" w:sz="4" w:space="0"/>
              <w:bottom w:val="single" w:color="auto" w:sz="4" w:space="0"/>
              <w:right w:val="single" w:color="auto" w:sz="4" w:space="0"/>
            </w:tcBorders>
            <w:noWrap w:val="0"/>
            <w:vAlign w:val="center"/>
          </w:tcPr>
          <w:p w14:paraId="2F80F354">
            <w:pPr>
              <w:spacing w:line="360" w:lineRule="auto"/>
              <w:jc w:val="center"/>
              <w:rPr>
                <w:rFonts w:cs="方正仿宋_GBK"/>
                <w:sz w:val="24"/>
                <w:szCs w:val="24"/>
              </w:rPr>
            </w:pPr>
          </w:p>
        </w:tc>
      </w:tr>
      <w:tr w14:paraId="4DEDB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702" w:type="dxa"/>
            <w:vMerge w:val="restart"/>
            <w:tcBorders>
              <w:top w:val="single" w:color="auto" w:sz="4" w:space="0"/>
              <w:left w:val="single" w:color="auto" w:sz="4" w:space="0"/>
              <w:bottom w:val="single" w:color="auto" w:sz="4" w:space="0"/>
              <w:right w:val="single" w:color="auto" w:sz="4" w:space="0"/>
            </w:tcBorders>
            <w:noWrap w:val="0"/>
            <w:vAlign w:val="center"/>
          </w:tcPr>
          <w:p w14:paraId="52E44754">
            <w:pPr>
              <w:spacing w:line="360" w:lineRule="auto"/>
              <w:jc w:val="center"/>
              <w:rPr>
                <w:rFonts w:cs="方正仿宋_GBK"/>
                <w:sz w:val="24"/>
                <w:szCs w:val="24"/>
              </w:rPr>
            </w:pPr>
            <w:r>
              <w:rPr>
                <w:rFonts w:hint="eastAsia" w:ascii="方正仿宋_GBK" w:hAnsi="方正仿宋_GBK" w:eastAsia="方正仿宋_GBK" w:cs="方正仿宋_GBK"/>
                <w:sz w:val="24"/>
                <w:szCs w:val="24"/>
              </w:rPr>
              <w:t>联系方式</w:t>
            </w: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3C4F0903">
            <w:pPr>
              <w:spacing w:line="360" w:lineRule="auto"/>
              <w:jc w:val="center"/>
              <w:rPr>
                <w:rFonts w:cs="方正仿宋_GBK"/>
                <w:sz w:val="24"/>
                <w:szCs w:val="24"/>
              </w:rPr>
            </w:pPr>
            <w:r>
              <w:rPr>
                <w:rFonts w:hint="eastAsia" w:ascii="方正仿宋_GBK" w:hAnsi="方正仿宋_GBK" w:eastAsia="方正仿宋_GBK" w:cs="方正仿宋_GBK"/>
                <w:sz w:val="24"/>
                <w:szCs w:val="24"/>
              </w:rPr>
              <w:t>联系人</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1231B12D">
            <w:pPr>
              <w:spacing w:line="360" w:lineRule="auto"/>
              <w:jc w:val="center"/>
              <w:rPr>
                <w:rFonts w:cs="方正仿宋_GBK"/>
                <w:sz w:val="24"/>
                <w:szCs w:val="24"/>
              </w:rPr>
            </w:pP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14:paraId="05FB9594">
            <w:pPr>
              <w:spacing w:line="360" w:lineRule="auto"/>
              <w:jc w:val="center"/>
              <w:rPr>
                <w:rFonts w:cs="方正仿宋_GBK"/>
                <w:sz w:val="24"/>
                <w:szCs w:val="24"/>
              </w:rPr>
            </w:pPr>
            <w:r>
              <w:rPr>
                <w:rFonts w:hint="eastAsia" w:ascii="方正仿宋_GBK" w:hAnsi="方正仿宋_GBK" w:eastAsia="方正仿宋_GBK" w:cs="方正仿宋_GBK"/>
                <w:sz w:val="24"/>
                <w:szCs w:val="24"/>
              </w:rPr>
              <w:t>电话</w:t>
            </w:r>
          </w:p>
        </w:tc>
        <w:tc>
          <w:tcPr>
            <w:tcW w:w="2410" w:type="dxa"/>
            <w:gridSpan w:val="4"/>
            <w:tcBorders>
              <w:top w:val="single" w:color="auto" w:sz="4" w:space="0"/>
              <w:left w:val="single" w:color="auto" w:sz="4" w:space="0"/>
              <w:bottom w:val="single" w:color="auto" w:sz="4" w:space="0"/>
              <w:right w:val="single" w:color="auto" w:sz="4" w:space="0"/>
            </w:tcBorders>
            <w:noWrap w:val="0"/>
            <w:vAlign w:val="center"/>
          </w:tcPr>
          <w:p w14:paraId="26017131">
            <w:pPr>
              <w:spacing w:line="360" w:lineRule="auto"/>
              <w:jc w:val="center"/>
              <w:rPr>
                <w:rFonts w:cs="方正仿宋_GBK"/>
                <w:sz w:val="24"/>
                <w:szCs w:val="24"/>
              </w:rPr>
            </w:pPr>
          </w:p>
        </w:tc>
      </w:tr>
      <w:tr w14:paraId="00235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trPr>
        <w:tc>
          <w:tcPr>
            <w:tcW w:w="1702" w:type="dxa"/>
            <w:vMerge w:val="continue"/>
            <w:tcBorders>
              <w:top w:val="single" w:color="auto" w:sz="4" w:space="0"/>
              <w:left w:val="single" w:color="auto" w:sz="4" w:space="0"/>
              <w:bottom w:val="single" w:color="auto" w:sz="4" w:space="0"/>
              <w:right w:val="single" w:color="auto" w:sz="4" w:space="0"/>
            </w:tcBorders>
            <w:noWrap w:val="0"/>
            <w:vAlign w:val="center"/>
          </w:tcPr>
          <w:p w14:paraId="5E6AE786">
            <w:pPr>
              <w:rPr>
                <w:rFonts w:ascii="Calibri" w:hAnsi="Calibri" w:eastAsia="宋体" w:cs="Times New Roman"/>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56D1B905">
            <w:pPr>
              <w:spacing w:line="360" w:lineRule="auto"/>
              <w:jc w:val="center"/>
              <w:rPr>
                <w:rFonts w:cs="方正仿宋_GBK"/>
                <w:sz w:val="24"/>
                <w:szCs w:val="24"/>
              </w:rPr>
            </w:pPr>
            <w:r>
              <w:rPr>
                <w:rFonts w:hint="eastAsia" w:ascii="方正仿宋_GBK" w:hAnsi="方正仿宋_GBK" w:eastAsia="方正仿宋_GBK" w:cs="方正仿宋_GBK"/>
                <w:sz w:val="24"/>
                <w:szCs w:val="24"/>
              </w:rPr>
              <w:t>传真</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27F9CF20">
            <w:pPr>
              <w:spacing w:line="360" w:lineRule="auto"/>
              <w:jc w:val="center"/>
              <w:rPr>
                <w:rFonts w:cs="方正仿宋_GBK"/>
                <w:sz w:val="24"/>
                <w:szCs w:val="24"/>
              </w:rPr>
            </w:pP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14:paraId="7A6B5FF9">
            <w:pPr>
              <w:spacing w:line="360" w:lineRule="auto"/>
              <w:jc w:val="center"/>
              <w:rPr>
                <w:rFonts w:cs="方正仿宋_GBK"/>
                <w:sz w:val="24"/>
                <w:szCs w:val="24"/>
              </w:rPr>
            </w:pPr>
            <w:r>
              <w:rPr>
                <w:rFonts w:hint="eastAsia" w:ascii="方正仿宋_GBK" w:hAnsi="方正仿宋_GBK" w:eastAsia="方正仿宋_GBK" w:cs="方正仿宋_GBK"/>
                <w:sz w:val="24"/>
                <w:szCs w:val="24"/>
              </w:rPr>
              <w:t>网址</w:t>
            </w:r>
          </w:p>
        </w:tc>
        <w:tc>
          <w:tcPr>
            <w:tcW w:w="2410" w:type="dxa"/>
            <w:gridSpan w:val="4"/>
            <w:tcBorders>
              <w:top w:val="single" w:color="auto" w:sz="4" w:space="0"/>
              <w:left w:val="single" w:color="auto" w:sz="4" w:space="0"/>
              <w:bottom w:val="single" w:color="auto" w:sz="4" w:space="0"/>
              <w:right w:val="single" w:color="auto" w:sz="4" w:space="0"/>
            </w:tcBorders>
            <w:noWrap w:val="0"/>
            <w:vAlign w:val="center"/>
          </w:tcPr>
          <w:p w14:paraId="50EEB623">
            <w:pPr>
              <w:spacing w:line="360" w:lineRule="auto"/>
              <w:jc w:val="center"/>
              <w:rPr>
                <w:rFonts w:cs="方正仿宋_GBK"/>
                <w:sz w:val="24"/>
                <w:szCs w:val="24"/>
              </w:rPr>
            </w:pPr>
          </w:p>
        </w:tc>
      </w:tr>
      <w:tr w14:paraId="7A04A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14:paraId="5BD2CA15">
            <w:pPr>
              <w:spacing w:line="360" w:lineRule="auto"/>
              <w:jc w:val="center"/>
              <w:rPr>
                <w:rFonts w:cs="方正仿宋_GBK"/>
                <w:sz w:val="24"/>
                <w:szCs w:val="24"/>
              </w:rPr>
            </w:pPr>
            <w:r>
              <w:rPr>
                <w:rFonts w:hint="eastAsia" w:ascii="方正仿宋_GBK" w:hAnsi="方正仿宋_GBK" w:eastAsia="方正仿宋_GBK" w:cs="方正仿宋_GBK"/>
                <w:sz w:val="24"/>
                <w:szCs w:val="24"/>
              </w:rPr>
              <w:t>组织结构</w:t>
            </w:r>
          </w:p>
        </w:tc>
        <w:tc>
          <w:tcPr>
            <w:tcW w:w="6521" w:type="dxa"/>
            <w:gridSpan w:val="10"/>
            <w:tcBorders>
              <w:top w:val="single" w:color="auto" w:sz="4" w:space="0"/>
              <w:left w:val="single" w:color="auto" w:sz="4" w:space="0"/>
              <w:bottom w:val="single" w:color="auto" w:sz="4" w:space="0"/>
              <w:right w:val="single" w:color="auto" w:sz="4" w:space="0"/>
            </w:tcBorders>
            <w:noWrap w:val="0"/>
            <w:vAlign w:val="center"/>
          </w:tcPr>
          <w:p w14:paraId="2E949CBF">
            <w:pPr>
              <w:spacing w:line="360" w:lineRule="auto"/>
              <w:ind w:firstLine="480" w:firstLineChars="200"/>
              <w:jc w:val="center"/>
              <w:rPr>
                <w:rFonts w:cs="方正仿宋_GBK"/>
                <w:sz w:val="24"/>
                <w:szCs w:val="24"/>
              </w:rPr>
            </w:pPr>
          </w:p>
        </w:tc>
      </w:tr>
      <w:tr w14:paraId="080E3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14:paraId="10BD3785">
            <w:pPr>
              <w:spacing w:line="360" w:lineRule="auto"/>
              <w:jc w:val="center"/>
              <w:rPr>
                <w:rFonts w:cs="方正仿宋_GBK"/>
                <w:sz w:val="24"/>
                <w:szCs w:val="24"/>
              </w:rPr>
            </w:pPr>
            <w:r>
              <w:rPr>
                <w:rFonts w:hint="eastAsia" w:ascii="方正仿宋_GBK" w:hAnsi="方正仿宋_GBK" w:eastAsia="方正仿宋_GBK" w:cs="方正仿宋_GBK"/>
                <w:sz w:val="24"/>
                <w:szCs w:val="24"/>
              </w:rPr>
              <w:t>法定代表人</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17B413D">
            <w:pPr>
              <w:spacing w:line="360" w:lineRule="auto"/>
              <w:jc w:val="center"/>
              <w:rPr>
                <w:rFonts w:cs="方正仿宋_GBK"/>
                <w:sz w:val="24"/>
                <w:szCs w:val="24"/>
              </w:rPr>
            </w:pPr>
            <w:r>
              <w:rPr>
                <w:rFonts w:hint="eastAsia" w:ascii="方正仿宋_GBK" w:hAnsi="方正仿宋_GBK" w:eastAsia="方正仿宋_GBK" w:cs="方正仿宋_GBK"/>
                <w:sz w:val="24"/>
                <w:szCs w:val="24"/>
              </w:rPr>
              <w:t>姓名</w:t>
            </w:r>
          </w:p>
        </w:tc>
        <w:tc>
          <w:tcPr>
            <w:tcW w:w="1866" w:type="dxa"/>
            <w:gridSpan w:val="2"/>
            <w:tcBorders>
              <w:top w:val="single" w:color="auto" w:sz="4" w:space="0"/>
              <w:left w:val="single" w:color="auto" w:sz="4" w:space="0"/>
              <w:bottom w:val="single" w:color="auto" w:sz="4" w:space="0"/>
              <w:right w:val="single" w:color="auto" w:sz="4" w:space="0"/>
            </w:tcBorders>
            <w:noWrap w:val="0"/>
            <w:vAlign w:val="center"/>
          </w:tcPr>
          <w:p w14:paraId="5181A328">
            <w:pPr>
              <w:spacing w:line="360" w:lineRule="auto"/>
              <w:jc w:val="center"/>
              <w:rPr>
                <w:rFonts w:cs="方正仿宋_GBK"/>
                <w:sz w:val="24"/>
                <w:szCs w:val="24"/>
              </w:rPr>
            </w:pPr>
          </w:p>
        </w:tc>
        <w:tc>
          <w:tcPr>
            <w:tcW w:w="1208" w:type="dxa"/>
            <w:gridSpan w:val="2"/>
            <w:tcBorders>
              <w:top w:val="single" w:color="auto" w:sz="4" w:space="0"/>
              <w:left w:val="single" w:color="auto" w:sz="4" w:space="0"/>
              <w:bottom w:val="single" w:color="auto" w:sz="4" w:space="0"/>
              <w:right w:val="single" w:color="auto" w:sz="4" w:space="0"/>
            </w:tcBorders>
            <w:noWrap w:val="0"/>
            <w:vAlign w:val="center"/>
          </w:tcPr>
          <w:p w14:paraId="4E239EFC">
            <w:pPr>
              <w:spacing w:line="360" w:lineRule="auto"/>
              <w:jc w:val="center"/>
              <w:rPr>
                <w:rFonts w:cs="方正仿宋_GBK"/>
                <w:sz w:val="24"/>
                <w:szCs w:val="24"/>
              </w:rPr>
            </w:pPr>
            <w:r>
              <w:rPr>
                <w:rFonts w:hint="eastAsia" w:ascii="方正仿宋_GBK" w:hAnsi="方正仿宋_GBK" w:eastAsia="方正仿宋_GBK" w:cs="方正仿宋_GBK"/>
                <w:sz w:val="24"/>
                <w:szCs w:val="24"/>
              </w:rPr>
              <w:t>技术职称</w:t>
            </w:r>
          </w:p>
        </w:tc>
        <w:tc>
          <w:tcPr>
            <w:tcW w:w="895" w:type="dxa"/>
            <w:gridSpan w:val="2"/>
            <w:tcBorders>
              <w:top w:val="single" w:color="auto" w:sz="4" w:space="0"/>
              <w:left w:val="single" w:color="auto" w:sz="4" w:space="0"/>
              <w:bottom w:val="single" w:color="auto" w:sz="4" w:space="0"/>
              <w:right w:val="single" w:color="auto" w:sz="4" w:space="0"/>
            </w:tcBorders>
            <w:noWrap w:val="0"/>
            <w:vAlign w:val="center"/>
          </w:tcPr>
          <w:p w14:paraId="444D535C">
            <w:pPr>
              <w:spacing w:line="360" w:lineRule="auto"/>
              <w:jc w:val="center"/>
              <w:rPr>
                <w:rFonts w:cs="方正仿宋_GBK"/>
                <w:sz w:val="24"/>
                <w:szCs w:val="24"/>
              </w:rPr>
            </w:pP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14:paraId="065772BE">
            <w:pPr>
              <w:spacing w:line="360" w:lineRule="auto"/>
              <w:jc w:val="center"/>
              <w:rPr>
                <w:rFonts w:cs="方正仿宋_GBK"/>
                <w:sz w:val="24"/>
                <w:szCs w:val="24"/>
              </w:rPr>
            </w:pPr>
            <w:r>
              <w:rPr>
                <w:rFonts w:hint="eastAsia" w:ascii="方正仿宋_GBK" w:hAnsi="方正仿宋_GBK" w:eastAsia="方正仿宋_GBK" w:cs="方正仿宋_GBK"/>
                <w:sz w:val="24"/>
                <w:szCs w:val="24"/>
              </w:rPr>
              <w:t>电话</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2DF9637B">
            <w:pPr>
              <w:spacing w:line="360" w:lineRule="auto"/>
              <w:jc w:val="center"/>
              <w:rPr>
                <w:rFonts w:cs="方正仿宋_GBK"/>
                <w:sz w:val="24"/>
                <w:szCs w:val="24"/>
              </w:rPr>
            </w:pPr>
          </w:p>
        </w:tc>
      </w:tr>
      <w:tr w14:paraId="253F5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14:paraId="4F1B516D">
            <w:pPr>
              <w:spacing w:line="360" w:lineRule="auto"/>
              <w:jc w:val="center"/>
              <w:rPr>
                <w:rFonts w:cs="方正仿宋_GBK"/>
                <w:sz w:val="24"/>
                <w:szCs w:val="24"/>
              </w:rPr>
            </w:pPr>
            <w:r>
              <w:rPr>
                <w:rFonts w:hint="eastAsia" w:ascii="方正仿宋_GBK" w:hAnsi="方正仿宋_GBK" w:eastAsia="方正仿宋_GBK" w:cs="方正仿宋_GBK"/>
                <w:sz w:val="24"/>
                <w:szCs w:val="24"/>
              </w:rPr>
              <w:t>技术负责人</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00D23A31">
            <w:pPr>
              <w:spacing w:line="360" w:lineRule="auto"/>
              <w:jc w:val="center"/>
              <w:rPr>
                <w:rFonts w:cs="方正仿宋_GBK"/>
                <w:sz w:val="24"/>
                <w:szCs w:val="24"/>
              </w:rPr>
            </w:pPr>
            <w:r>
              <w:rPr>
                <w:rFonts w:hint="eastAsia" w:ascii="方正仿宋_GBK" w:hAnsi="方正仿宋_GBK" w:eastAsia="方正仿宋_GBK" w:cs="方正仿宋_GBK"/>
                <w:sz w:val="24"/>
                <w:szCs w:val="24"/>
              </w:rPr>
              <w:t>姓名</w:t>
            </w:r>
          </w:p>
        </w:tc>
        <w:tc>
          <w:tcPr>
            <w:tcW w:w="1866" w:type="dxa"/>
            <w:gridSpan w:val="2"/>
            <w:tcBorders>
              <w:top w:val="single" w:color="auto" w:sz="4" w:space="0"/>
              <w:left w:val="single" w:color="auto" w:sz="4" w:space="0"/>
              <w:bottom w:val="single" w:color="auto" w:sz="4" w:space="0"/>
              <w:right w:val="single" w:color="auto" w:sz="4" w:space="0"/>
            </w:tcBorders>
            <w:noWrap w:val="0"/>
            <w:vAlign w:val="center"/>
          </w:tcPr>
          <w:p w14:paraId="3E140553">
            <w:pPr>
              <w:spacing w:line="360" w:lineRule="auto"/>
              <w:jc w:val="center"/>
              <w:rPr>
                <w:rFonts w:cs="方正仿宋_GBK"/>
                <w:sz w:val="24"/>
                <w:szCs w:val="24"/>
              </w:rPr>
            </w:pPr>
          </w:p>
        </w:tc>
        <w:tc>
          <w:tcPr>
            <w:tcW w:w="1208" w:type="dxa"/>
            <w:gridSpan w:val="2"/>
            <w:tcBorders>
              <w:top w:val="single" w:color="auto" w:sz="4" w:space="0"/>
              <w:left w:val="single" w:color="auto" w:sz="4" w:space="0"/>
              <w:bottom w:val="single" w:color="auto" w:sz="4" w:space="0"/>
              <w:right w:val="single" w:color="auto" w:sz="4" w:space="0"/>
            </w:tcBorders>
            <w:noWrap w:val="0"/>
            <w:vAlign w:val="center"/>
          </w:tcPr>
          <w:p w14:paraId="7A7137DC">
            <w:pPr>
              <w:spacing w:line="360" w:lineRule="auto"/>
              <w:jc w:val="center"/>
              <w:rPr>
                <w:rFonts w:cs="方正仿宋_GBK"/>
                <w:sz w:val="24"/>
                <w:szCs w:val="24"/>
              </w:rPr>
            </w:pPr>
            <w:r>
              <w:rPr>
                <w:rFonts w:hint="eastAsia" w:ascii="方正仿宋_GBK" w:hAnsi="方正仿宋_GBK" w:eastAsia="方正仿宋_GBK" w:cs="方正仿宋_GBK"/>
                <w:sz w:val="24"/>
                <w:szCs w:val="24"/>
              </w:rPr>
              <w:t>技术职称</w:t>
            </w:r>
          </w:p>
        </w:tc>
        <w:tc>
          <w:tcPr>
            <w:tcW w:w="895" w:type="dxa"/>
            <w:gridSpan w:val="2"/>
            <w:tcBorders>
              <w:top w:val="single" w:color="auto" w:sz="4" w:space="0"/>
              <w:left w:val="single" w:color="auto" w:sz="4" w:space="0"/>
              <w:bottom w:val="single" w:color="auto" w:sz="4" w:space="0"/>
              <w:right w:val="single" w:color="auto" w:sz="4" w:space="0"/>
            </w:tcBorders>
            <w:noWrap w:val="0"/>
            <w:vAlign w:val="center"/>
          </w:tcPr>
          <w:p w14:paraId="1B195C36">
            <w:pPr>
              <w:spacing w:line="360" w:lineRule="auto"/>
              <w:jc w:val="center"/>
              <w:rPr>
                <w:rFonts w:cs="方正仿宋_GBK"/>
                <w:sz w:val="24"/>
                <w:szCs w:val="24"/>
              </w:rPr>
            </w:pP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14:paraId="57E2CF6E">
            <w:pPr>
              <w:spacing w:line="360" w:lineRule="auto"/>
              <w:jc w:val="center"/>
              <w:rPr>
                <w:rFonts w:cs="方正仿宋_GBK"/>
                <w:sz w:val="24"/>
                <w:szCs w:val="24"/>
              </w:rPr>
            </w:pPr>
            <w:r>
              <w:rPr>
                <w:rFonts w:hint="eastAsia" w:ascii="方正仿宋_GBK" w:hAnsi="方正仿宋_GBK" w:eastAsia="方正仿宋_GBK" w:cs="方正仿宋_GBK"/>
                <w:sz w:val="24"/>
                <w:szCs w:val="24"/>
              </w:rPr>
              <w:t>电话</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062673A6">
            <w:pPr>
              <w:spacing w:line="360" w:lineRule="auto"/>
              <w:ind w:firstLine="480" w:firstLineChars="200"/>
              <w:jc w:val="center"/>
              <w:rPr>
                <w:rFonts w:cs="方正仿宋_GBK"/>
                <w:sz w:val="24"/>
                <w:szCs w:val="24"/>
              </w:rPr>
            </w:pPr>
          </w:p>
        </w:tc>
      </w:tr>
      <w:tr w14:paraId="128D6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14:paraId="1310E66B">
            <w:pPr>
              <w:spacing w:line="360" w:lineRule="auto"/>
              <w:jc w:val="center"/>
              <w:rPr>
                <w:rFonts w:cs="方正仿宋_GBK"/>
                <w:sz w:val="24"/>
                <w:szCs w:val="24"/>
              </w:rPr>
            </w:pPr>
            <w:r>
              <w:rPr>
                <w:rFonts w:hint="eastAsia" w:ascii="方正仿宋_GBK" w:hAnsi="方正仿宋_GBK" w:eastAsia="方正仿宋_GBK" w:cs="方正仿宋_GBK"/>
                <w:sz w:val="24"/>
                <w:szCs w:val="24"/>
              </w:rPr>
              <w:t>成立时间</w:t>
            </w:r>
          </w:p>
        </w:tc>
        <w:tc>
          <w:tcPr>
            <w:tcW w:w="2575" w:type="dxa"/>
            <w:gridSpan w:val="3"/>
            <w:tcBorders>
              <w:top w:val="single" w:color="auto" w:sz="4" w:space="0"/>
              <w:left w:val="single" w:color="auto" w:sz="4" w:space="0"/>
              <w:bottom w:val="single" w:color="auto" w:sz="4" w:space="0"/>
              <w:right w:val="single" w:color="auto" w:sz="4" w:space="0"/>
            </w:tcBorders>
            <w:noWrap w:val="0"/>
            <w:vAlign w:val="center"/>
          </w:tcPr>
          <w:p w14:paraId="340945D6">
            <w:pPr>
              <w:spacing w:line="360" w:lineRule="auto"/>
              <w:jc w:val="center"/>
              <w:rPr>
                <w:rFonts w:cs="方正仿宋_GBK"/>
                <w:sz w:val="24"/>
                <w:szCs w:val="24"/>
              </w:rPr>
            </w:pPr>
          </w:p>
        </w:tc>
        <w:tc>
          <w:tcPr>
            <w:tcW w:w="3946" w:type="dxa"/>
            <w:gridSpan w:val="7"/>
            <w:tcBorders>
              <w:top w:val="single" w:color="auto" w:sz="4" w:space="0"/>
              <w:left w:val="single" w:color="auto" w:sz="4" w:space="0"/>
              <w:bottom w:val="single" w:color="auto" w:sz="4" w:space="0"/>
              <w:right w:val="single" w:color="auto" w:sz="4" w:space="0"/>
            </w:tcBorders>
            <w:noWrap w:val="0"/>
            <w:vAlign w:val="center"/>
          </w:tcPr>
          <w:p w14:paraId="33687536">
            <w:pPr>
              <w:spacing w:line="360" w:lineRule="auto"/>
              <w:jc w:val="center"/>
              <w:rPr>
                <w:rFonts w:cs="方正仿宋_GBK"/>
                <w:sz w:val="24"/>
                <w:szCs w:val="24"/>
              </w:rPr>
            </w:pPr>
            <w:r>
              <w:rPr>
                <w:rFonts w:hint="eastAsia" w:ascii="方正仿宋_GBK" w:hAnsi="方正仿宋_GBK" w:eastAsia="方正仿宋_GBK" w:cs="方正仿宋_GBK"/>
                <w:sz w:val="24"/>
                <w:szCs w:val="24"/>
              </w:rPr>
              <w:t>员工总人数：</w:t>
            </w:r>
          </w:p>
        </w:tc>
      </w:tr>
      <w:tr w14:paraId="0ACF5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14:paraId="410CE215">
            <w:pPr>
              <w:spacing w:line="360" w:lineRule="auto"/>
              <w:jc w:val="center"/>
              <w:rPr>
                <w:rFonts w:cs="方正仿宋_GBK"/>
                <w:sz w:val="24"/>
                <w:szCs w:val="24"/>
              </w:rPr>
            </w:pPr>
            <w:r>
              <w:rPr>
                <w:rFonts w:hint="eastAsia" w:ascii="方正仿宋_GBK" w:hAnsi="方正仿宋_GBK" w:eastAsia="方正仿宋_GBK" w:cs="方正仿宋_GBK"/>
                <w:sz w:val="24"/>
                <w:szCs w:val="24"/>
              </w:rPr>
              <w:t>企业资质等级</w:t>
            </w:r>
          </w:p>
        </w:tc>
        <w:tc>
          <w:tcPr>
            <w:tcW w:w="2575" w:type="dxa"/>
            <w:gridSpan w:val="3"/>
            <w:tcBorders>
              <w:top w:val="single" w:color="auto" w:sz="4" w:space="0"/>
              <w:left w:val="single" w:color="auto" w:sz="4" w:space="0"/>
              <w:bottom w:val="single" w:color="auto" w:sz="4" w:space="0"/>
              <w:right w:val="single" w:color="auto" w:sz="4" w:space="0"/>
            </w:tcBorders>
            <w:noWrap w:val="0"/>
            <w:vAlign w:val="center"/>
          </w:tcPr>
          <w:p w14:paraId="2EAC5D7E">
            <w:pPr>
              <w:spacing w:line="360" w:lineRule="auto"/>
              <w:jc w:val="center"/>
              <w:rPr>
                <w:rFonts w:cs="方正仿宋_GBK"/>
                <w:sz w:val="24"/>
                <w:szCs w:val="24"/>
              </w:rPr>
            </w:pPr>
          </w:p>
        </w:tc>
        <w:tc>
          <w:tcPr>
            <w:tcW w:w="120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4BAC3F63">
            <w:pPr>
              <w:spacing w:line="360" w:lineRule="auto"/>
              <w:jc w:val="center"/>
              <w:rPr>
                <w:rFonts w:cs="方正仿宋_GBK"/>
                <w:sz w:val="24"/>
                <w:szCs w:val="24"/>
              </w:rPr>
            </w:pPr>
            <w:r>
              <w:rPr>
                <w:rFonts w:hint="eastAsia" w:ascii="方正仿宋_GBK" w:hAnsi="方正仿宋_GBK" w:eastAsia="方正仿宋_GBK" w:cs="方正仿宋_GBK"/>
                <w:sz w:val="24"/>
                <w:szCs w:val="24"/>
              </w:rPr>
              <w:t>其中</w:t>
            </w:r>
          </w:p>
        </w:tc>
        <w:tc>
          <w:tcPr>
            <w:tcW w:w="1680" w:type="dxa"/>
            <w:gridSpan w:val="3"/>
            <w:tcBorders>
              <w:top w:val="single" w:color="auto" w:sz="4" w:space="0"/>
              <w:left w:val="single" w:color="auto" w:sz="4" w:space="0"/>
              <w:bottom w:val="single" w:color="auto" w:sz="4" w:space="0"/>
              <w:right w:val="single" w:color="auto" w:sz="4" w:space="0"/>
            </w:tcBorders>
            <w:noWrap w:val="0"/>
            <w:vAlign w:val="center"/>
          </w:tcPr>
          <w:p w14:paraId="7FF1A149">
            <w:pPr>
              <w:spacing w:line="360" w:lineRule="auto"/>
              <w:jc w:val="center"/>
              <w:rPr>
                <w:rFonts w:cs="方正仿宋_GBK"/>
                <w:sz w:val="24"/>
                <w:szCs w:val="24"/>
              </w:rPr>
            </w:pPr>
            <w:r>
              <w:rPr>
                <w:rFonts w:hint="eastAsia" w:ascii="方正仿宋_GBK" w:hAnsi="方正仿宋_GBK" w:eastAsia="方正仿宋_GBK" w:cs="方正仿宋_GBK"/>
                <w:sz w:val="24"/>
                <w:szCs w:val="24"/>
              </w:rPr>
              <w:t>项目经理</w:t>
            </w:r>
          </w:p>
        </w:tc>
        <w:tc>
          <w:tcPr>
            <w:tcW w:w="1058" w:type="dxa"/>
            <w:gridSpan w:val="2"/>
            <w:tcBorders>
              <w:top w:val="single" w:color="auto" w:sz="4" w:space="0"/>
              <w:left w:val="single" w:color="auto" w:sz="4" w:space="0"/>
              <w:bottom w:val="single" w:color="auto" w:sz="4" w:space="0"/>
              <w:right w:val="single" w:color="auto" w:sz="4" w:space="0"/>
            </w:tcBorders>
            <w:noWrap w:val="0"/>
            <w:vAlign w:val="center"/>
          </w:tcPr>
          <w:p w14:paraId="7E5DAFD5">
            <w:pPr>
              <w:spacing w:line="360" w:lineRule="auto"/>
              <w:jc w:val="center"/>
              <w:rPr>
                <w:rFonts w:cs="方正仿宋_GBK"/>
                <w:sz w:val="24"/>
                <w:szCs w:val="24"/>
              </w:rPr>
            </w:pPr>
          </w:p>
        </w:tc>
      </w:tr>
      <w:tr w14:paraId="51DBD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14:paraId="1D10721E">
            <w:pPr>
              <w:spacing w:line="360" w:lineRule="auto"/>
              <w:jc w:val="center"/>
              <w:rPr>
                <w:rFonts w:cs="方正仿宋_GBK"/>
                <w:sz w:val="24"/>
                <w:szCs w:val="24"/>
              </w:rPr>
            </w:pPr>
            <w:r>
              <w:rPr>
                <w:rFonts w:hint="eastAsia" w:ascii="方正仿宋_GBK" w:hAnsi="方正仿宋_GBK" w:eastAsia="方正仿宋_GBK" w:cs="方正仿宋_GBK"/>
                <w:sz w:val="24"/>
                <w:szCs w:val="24"/>
              </w:rPr>
              <w:t>营业执照号</w:t>
            </w:r>
          </w:p>
        </w:tc>
        <w:tc>
          <w:tcPr>
            <w:tcW w:w="2575" w:type="dxa"/>
            <w:gridSpan w:val="3"/>
            <w:tcBorders>
              <w:top w:val="single" w:color="auto" w:sz="4" w:space="0"/>
              <w:left w:val="single" w:color="auto" w:sz="4" w:space="0"/>
              <w:bottom w:val="single" w:color="auto" w:sz="4" w:space="0"/>
              <w:right w:val="single" w:color="auto" w:sz="4" w:space="0"/>
            </w:tcBorders>
            <w:noWrap w:val="0"/>
            <w:vAlign w:val="center"/>
          </w:tcPr>
          <w:p w14:paraId="68913833">
            <w:pPr>
              <w:spacing w:line="360" w:lineRule="auto"/>
              <w:jc w:val="center"/>
              <w:rPr>
                <w:rFonts w:cs="方正仿宋_GBK"/>
                <w:sz w:val="24"/>
                <w:szCs w:val="24"/>
              </w:rPr>
            </w:pPr>
          </w:p>
        </w:tc>
        <w:tc>
          <w:tcPr>
            <w:tcW w:w="120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AE41EB2">
            <w:pPr>
              <w:rPr>
                <w:rFonts w:ascii="Calibri" w:hAnsi="Calibri" w:eastAsia="宋体" w:cs="Times New Roman"/>
              </w:rPr>
            </w:pPr>
          </w:p>
        </w:tc>
        <w:tc>
          <w:tcPr>
            <w:tcW w:w="1680" w:type="dxa"/>
            <w:gridSpan w:val="3"/>
            <w:tcBorders>
              <w:top w:val="single" w:color="auto" w:sz="4" w:space="0"/>
              <w:left w:val="single" w:color="auto" w:sz="4" w:space="0"/>
              <w:bottom w:val="single" w:color="auto" w:sz="4" w:space="0"/>
              <w:right w:val="single" w:color="auto" w:sz="4" w:space="0"/>
            </w:tcBorders>
            <w:noWrap w:val="0"/>
            <w:vAlign w:val="center"/>
          </w:tcPr>
          <w:p w14:paraId="7ED8ADFC">
            <w:pPr>
              <w:spacing w:line="360" w:lineRule="auto"/>
              <w:jc w:val="center"/>
              <w:rPr>
                <w:rFonts w:cs="方正仿宋_GBK"/>
                <w:sz w:val="24"/>
                <w:szCs w:val="24"/>
              </w:rPr>
            </w:pPr>
            <w:r>
              <w:rPr>
                <w:rFonts w:hint="eastAsia" w:ascii="方正仿宋_GBK" w:hAnsi="方正仿宋_GBK" w:eastAsia="方正仿宋_GBK" w:cs="方正仿宋_GBK"/>
                <w:sz w:val="24"/>
                <w:szCs w:val="24"/>
              </w:rPr>
              <w:t>高级职称人员</w:t>
            </w:r>
          </w:p>
        </w:tc>
        <w:tc>
          <w:tcPr>
            <w:tcW w:w="1058" w:type="dxa"/>
            <w:gridSpan w:val="2"/>
            <w:tcBorders>
              <w:top w:val="single" w:color="auto" w:sz="4" w:space="0"/>
              <w:left w:val="single" w:color="auto" w:sz="4" w:space="0"/>
              <w:bottom w:val="single" w:color="auto" w:sz="4" w:space="0"/>
              <w:right w:val="single" w:color="auto" w:sz="4" w:space="0"/>
            </w:tcBorders>
            <w:noWrap w:val="0"/>
            <w:vAlign w:val="center"/>
          </w:tcPr>
          <w:p w14:paraId="73C2B25E">
            <w:pPr>
              <w:spacing w:line="360" w:lineRule="auto"/>
              <w:jc w:val="center"/>
              <w:rPr>
                <w:rFonts w:cs="方正仿宋_GBK"/>
                <w:sz w:val="24"/>
                <w:szCs w:val="24"/>
              </w:rPr>
            </w:pPr>
          </w:p>
        </w:tc>
      </w:tr>
      <w:tr w14:paraId="15910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14:paraId="17DD4EAF">
            <w:pPr>
              <w:spacing w:line="360" w:lineRule="auto"/>
              <w:jc w:val="center"/>
              <w:rPr>
                <w:rFonts w:cs="方正仿宋_GBK"/>
                <w:sz w:val="24"/>
                <w:szCs w:val="24"/>
              </w:rPr>
            </w:pPr>
            <w:r>
              <w:rPr>
                <w:rFonts w:hint="eastAsia" w:ascii="方正仿宋_GBK" w:hAnsi="方正仿宋_GBK" w:eastAsia="方正仿宋_GBK" w:cs="方正仿宋_GBK"/>
                <w:sz w:val="24"/>
                <w:szCs w:val="24"/>
              </w:rPr>
              <w:t>注册资金</w:t>
            </w:r>
          </w:p>
        </w:tc>
        <w:tc>
          <w:tcPr>
            <w:tcW w:w="2575" w:type="dxa"/>
            <w:gridSpan w:val="3"/>
            <w:tcBorders>
              <w:top w:val="single" w:color="auto" w:sz="4" w:space="0"/>
              <w:left w:val="single" w:color="auto" w:sz="4" w:space="0"/>
              <w:bottom w:val="single" w:color="auto" w:sz="4" w:space="0"/>
              <w:right w:val="single" w:color="auto" w:sz="4" w:space="0"/>
            </w:tcBorders>
            <w:noWrap w:val="0"/>
            <w:vAlign w:val="center"/>
          </w:tcPr>
          <w:p w14:paraId="75FACB3A">
            <w:pPr>
              <w:spacing w:line="360" w:lineRule="auto"/>
              <w:jc w:val="center"/>
              <w:rPr>
                <w:rFonts w:cs="方正仿宋_GBK"/>
                <w:sz w:val="24"/>
                <w:szCs w:val="24"/>
              </w:rPr>
            </w:pPr>
          </w:p>
        </w:tc>
        <w:tc>
          <w:tcPr>
            <w:tcW w:w="120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31B7C8F">
            <w:pPr>
              <w:rPr>
                <w:rFonts w:ascii="Calibri" w:hAnsi="Calibri" w:eastAsia="宋体" w:cs="Times New Roman"/>
              </w:rPr>
            </w:pPr>
          </w:p>
        </w:tc>
        <w:tc>
          <w:tcPr>
            <w:tcW w:w="1680" w:type="dxa"/>
            <w:gridSpan w:val="3"/>
            <w:tcBorders>
              <w:top w:val="single" w:color="auto" w:sz="4" w:space="0"/>
              <w:left w:val="single" w:color="auto" w:sz="4" w:space="0"/>
              <w:bottom w:val="single" w:color="auto" w:sz="4" w:space="0"/>
              <w:right w:val="single" w:color="auto" w:sz="4" w:space="0"/>
            </w:tcBorders>
            <w:noWrap w:val="0"/>
            <w:vAlign w:val="center"/>
          </w:tcPr>
          <w:p w14:paraId="2347D9C1">
            <w:pPr>
              <w:spacing w:line="360" w:lineRule="auto"/>
              <w:jc w:val="center"/>
              <w:rPr>
                <w:rFonts w:cs="方正仿宋_GBK"/>
                <w:sz w:val="24"/>
                <w:szCs w:val="24"/>
              </w:rPr>
            </w:pPr>
            <w:r>
              <w:rPr>
                <w:rFonts w:hint="eastAsia" w:ascii="方正仿宋_GBK" w:hAnsi="方正仿宋_GBK" w:eastAsia="方正仿宋_GBK" w:cs="方正仿宋_GBK"/>
                <w:sz w:val="24"/>
                <w:szCs w:val="24"/>
              </w:rPr>
              <w:t>中级职称人员</w:t>
            </w:r>
          </w:p>
        </w:tc>
        <w:tc>
          <w:tcPr>
            <w:tcW w:w="1058" w:type="dxa"/>
            <w:gridSpan w:val="2"/>
            <w:tcBorders>
              <w:top w:val="single" w:color="auto" w:sz="4" w:space="0"/>
              <w:left w:val="single" w:color="auto" w:sz="4" w:space="0"/>
              <w:bottom w:val="single" w:color="auto" w:sz="4" w:space="0"/>
              <w:right w:val="single" w:color="auto" w:sz="4" w:space="0"/>
            </w:tcBorders>
            <w:noWrap w:val="0"/>
            <w:vAlign w:val="center"/>
          </w:tcPr>
          <w:p w14:paraId="6E49D15A">
            <w:pPr>
              <w:spacing w:line="360" w:lineRule="auto"/>
              <w:jc w:val="center"/>
              <w:rPr>
                <w:rFonts w:cs="方正仿宋_GBK"/>
                <w:sz w:val="24"/>
                <w:szCs w:val="24"/>
              </w:rPr>
            </w:pPr>
          </w:p>
        </w:tc>
      </w:tr>
      <w:tr w14:paraId="65912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14:paraId="480B27F5">
            <w:pPr>
              <w:spacing w:line="360" w:lineRule="auto"/>
              <w:jc w:val="center"/>
              <w:rPr>
                <w:rFonts w:cs="方正仿宋_GBK"/>
                <w:sz w:val="24"/>
                <w:szCs w:val="24"/>
              </w:rPr>
            </w:pPr>
            <w:r>
              <w:rPr>
                <w:rFonts w:hint="eastAsia" w:ascii="方正仿宋_GBK" w:hAnsi="方正仿宋_GBK" w:eastAsia="方正仿宋_GBK" w:cs="方正仿宋_GBK"/>
                <w:sz w:val="24"/>
                <w:szCs w:val="24"/>
              </w:rPr>
              <w:t>开户银行</w:t>
            </w:r>
          </w:p>
        </w:tc>
        <w:tc>
          <w:tcPr>
            <w:tcW w:w="2575" w:type="dxa"/>
            <w:gridSpan w:val="3"/>
            <w:tcBorders>
              <w:top w:val="single" w:color="auto" w:sz="4" w:space="0"/>
              <w:left w:val="single" w:color="auto" w:sz="4" w:space="0"/>
              <w:bottom w:val="single" w:color="auto" w:sz="4" w:space="0"/>
              <w:right w:val="single" w:color="auto" w:sz="4" w:space="0"/>
            </w:tcBorders>
            <w:noWrap w:val="0"/>
            <w:vAlign w:val="center"/>
          </w:tcPr>
          <w:p w14:paraId="54E2FF20">
            <w:pPr>
              <w:spacing w:line="360" w:lineRule="auto"/>
              <w:jc w:val="center"/>
              <w:rPr>
                <w:rFonts w:cs="方正仿宋_GBK"/>
                <w:sz w:val="24"/>
                <w:szCs w:val="24"/>
              </w:rPr>
            </w:pPr>
          </w:p>
        </w:tc>
        <w:tc>
          <w:tcPr>
            <w:tcW w:w="120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788D866">
            <w:pPr>
              <w:rPr>
                <w:rFonts w:ascii="Calibri" w:hAnsi="Calibri" w:eastAsia="宋体" w:cs="Times New Roman"/>
              </w:rPr>
            </w:pPr>
          </w:p>
        </w:tc>
        <w:tc>
          <w:tcPr>
            <w:tcW w:w="1680" w:type="dxa"/>
            <w:gridSpan w:val="3"/>
            <w:tcBorders>
              <w:top w:val="single" w:color="auto" w:sz="4" w:space="0"/>
              <w:left w:val="single" w:color="auto" w:sz="4" w:space="0"/>
              <w:bottom w:val="single" w:color="auto" w:sz="4" w:space="0"/>
              <w:right w:val="single" w:color="auto" w:sz="4" w:space="0"/>
            </w:tcBorders>
            <w:noWrap w:val="0"/>
            <w:vAlign w:val="center"/>
          </w:tcPr>
          <w:p w14:paraId="47A1660D">
            <w:pPr>
              <w:spacing w:line="360" w:lineRule="auto"/>
              <w:jc w:val="center"/>
              <w:rPr>
                <w:rFonts w:cs="方正仿宋_GBK"/>
                <w:sz w:val="24"/>
                <w:szCs w:val="24"/>
              </w:rPr>
            </w:pPr>
            <w:r>
              <w:rPr>
                <w:rFonts w:hint="eastAsia" w:ascii="方正仿宋_GBK" w:hAnsi="方正仿宋_GBK" w:eastAsia="方正仿宋_GBK" w:cs="方正仿宋_GBK"/>
                <w:sz w:val="24"/>
                <w:szCs w:val="24"/>
              </w:rPr>
              <w:t>初级职称人员</w:t>
            </w:r>
          </w:p>
        </w:tc>
        <w:tc>
          <w:tcPr>
            <w:tcW w:w="1058" w:type="dxa"/>
            <w:gridSpan w:val="2"/>
            <w:tcBorders>
              <w:top w:val="single" w:color="auto" w:sz="4" w:space="0"/>
              <w:left w:val="single" w:color="auto" w:sz="4" w:space="0"/>
              <w:bottom w:val="single" w:color="auto" w:sz="4" w:space="0"/>
              <w:right w:val="single" w:color="auto" w:sz="4" w:space="0"/>
            </w:tcBorders>
            <w:noWrap w:val="0"/>
            <w:vAlign w:val="center"/>
          </w:tcPr>
          <w:p w14:paraId="5A2E62C3">
            <w:pPr>
              <w:spacing w:line="360" w:lineRule="auto"/>
              <w:jc w:val="center"/>
              <w:rPr>
                <w:rFonts w:cs="方正仿宋_GBK"/>
                <w:sz w:val="24"/>
                <w:szCs w:val="24"/>
              </w:rPr>
            </w:pPr>
          </w:p>
        </w:tc>
      </w:tr>
      <w:tr w14:paraId="292D5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14:paraId="03274B90">
            <w:pPr>
              <w:spacing w:line="360" w:lineRule="auto"/>
              <w:jc w:val="center"/>
              <w:rPr>
                <w:rFonts w:cs="方正仿宋_GBK"/>
                <w:sz w:val="24"/>
                <w:szCs w:val="24"/>
              </w:rPr>
            </w:pPr>
            <w:r>
              <w:rPr>
                <w:rFonts w:hint="eastAsia" w:ascii="方正仿宋_GBK" w:hAnsi="方正仿宋_GBK" w:eastAsia="方正仿宋_GBK" w:cs="方正仿宋_GBK"/>
                <w:sz w:val="24"/>
                <w:szCs w:val="24"/>
              </w:rPr>
              <w:t>账号</w:t>
            </w:r>
          </w:p>
        </w:tc>
        <w:tc>
          <w:tcPr>
            <w:tcW w:w="2575" w:type="dxa"/>
            <w:gridSpan w:val="3"/>
            <w:tcBorders>
              <w:top w:val="single" w:color="auto" w:sz="4" w:space="0"/>
              <w:left w:val="single" w:color="auto" w:sz="4" w:space="0"/>
              <w:bottom w:val="single" w:color="auto" w:sz="4" w:space="0"/>
              <w:right w:val="single" w:color="auto" w:sz="4" w:space="0"/>
            </w:tcBorders>
            <w:noWrap w:val="0"/>
            <w:vAlign w:val="center"/>
          </w:tcPr>
          <w:p w14:paraId="005FA424">
            <w:pPr>
              <w:spacing w:line="360" w:lineRule="auto"/>
              <w:jc w:val="center"/>
              <w:rPr>
                <w:rFonts w:cs="方正仿宋_GBK"/>
                <w:sz w:val="24"/>
                <w:szCs w:val="24"/>
              </w:rPr>
            </w:pPr>
          </w:p>
        </w:tc>
        <w:tc>
          <w:tcPr>
            <w:tcW w:w="120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5B70083">
            <w:pPr>
              <w:rPr>
                <w:rFonts w:ascii="Calibri" w:hAnsi="Calibri" w:eastAsia="宋体" w:cs="Times New Roman"/>
              </w:rPr>
            </w:pPr>
          </w:p>
        </w:tc>
        <w:tc>
          <w:tcPr>
            <w:tcW w:w="1680" w:type="dxa"/>
            <w:gridSpan w:val="3"/>
            <w:tcBorders>
              <w:top w:val="single" w:color="auto" w:sz="4" w:space="0"/>
              <w:left w:val="single" w:color="auto" w:sz="4" w:space="0"/>
              <w:bottom w:val="single" w:color="auto" w:sz="4" w:space="0"/>
              <w:right w:val="single" w:color="auto" w:sz="4" w:space="0"/>
            </w:tcBorders>
            <w:noWrap w:val="0"/>
            <w:vAlign w:val="center"/>
          </w:tcPr>
          <w:p w14:paraId="33118F11">
            <w:pPr>
              <w:spacing w:line="360" w:lineRule="auto"/>
              <w:jc w:val="center"/>
              <w:rPr>
                <w:rFonts w:cs="方正仿宋_GBK"/>
                <w:sz w:val="24"/>
                <w:szCs w:val="24"/>
              </w:rPr>
            </w:pPr>
            <w:r>
              <w:rPr>
                <w:rFonts w:hint="eastAsia" w:ascii="方正仿宋_GBK" w:hAnsi="方正仿宋_GBK" w:eastAsia="方正仿宋_GBK" w:cs="方正仿宋_GBK"/>
                <w:sz w:val="24"/>
                <w:szCs w:val="24"/>
              </w:rPr>
              <w:t>技工</w:t>
            </w:r>
          </w:p>
        </w:tc>
        <w:tc>
          <w:tcPr>
            <w:tcW w:w="1058" w:type="dxa"/>
            <w:gridSpan w:val="2"/>
            <w:tcBorders>
              <w:top w:val="single" w:color="auto" w:sz="4" w:space="0"/>
              <w:left w:val="single" w:color="auto" w:sz="4" w:space="0"/>
              <w:bottom w:val="single" w:color="auto" w:sz="4" w:space="0"/>
              <w:right w:val="single" w:color="auto" w:sz="4" w:space="0"/>
            </w:tcBorders>
            <w:noWrap w:val="0"/>
            <w:vAlign w:val="center"/>
          </w:tcPr>
          <w:p w14:paraId="5B572F77">
            <w:pPr>
              <w:spacing w:line="360" w:lineRule="auto"/>
              <w:jc w:val="center"/>
              <w:rPr>
                <w:rFonts w:cs="方正仿宋_GBK"/>
                <w:sz w:val="24"/>
                <w:szCs w:val="24"/>
              </w:rPr>
            </w:pPr>
          </w:p>
        </w:tc>
      </w:tr>
      <w:tr w14:paraId="24E6B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14:paraId="6B29BD62">
            <w:pPr>
              <w:spacing w:line="360" w:lineRule="auto"/>
              <w:jc w:val="center"/>
              <w:rPr>
                <w:rFonts w:cs="方正仿宋_GBK"/>
                <w:sz w:val="24"/>
                <w:szCs w:val="24"/>
              </w:rPr>
            </w:pPr>
            <w:r>
              <w:rPr>
                <w:rFonts w:hint="eastAsia" w:ascii="方正仿宋_GBK" w:hAnsi="方正仿宋_GBK" w:eastAsia="方正仿宋_GBK" w:cs="方正仿宋_GBK"/>
                <w:sz w:val="24"/>
                <w:szCs w:val="24"/>
              </w:rPr>
              <w:t>经营范围</w:t>
            </w:r>
          </w:p>
        </w:tc>
        <w:tc>
          <w:tcPr>
            <w:tcW w:w="6521" w:type="dxa"/>
            <w:gridSpan w:val="10"/>
            <w:tcBorders>
              <w:top w:val="single" w:color="auto" w:sz="4" w:space="0"/>
              <w:left w:val="single" w:color="auto" w:sz="4" w:space="0"/>
              <w:bottom w:val="single" w:color="auto" w:sz="4" w:space="0"/>
              <w:right w:val="single" w:color="auto" w:sz="4" w:space="0"/>
            </w:tcBorders>
            <w:noWrap w:val="0"/>
            <w:vAlign w:val="center"/>
          </w:tcPr>
          <w:p w14:paraId="4F9C7951">
            <w:pPr>
              <w:spacing w:line="360" w:lineRule="auto"/>
              <w:jc w:val="center"/>
              <w:rPr>
                <w:rFonts w:cs="方正仿宋_GBK"/>
                <w:sz w:val="24"/>
                <w:szCs w:val="24"/>
              </w:rPr>
            </w:pPr>
          </w:p>
        </w:tc>
      </w:tr>
      <w:tr w14:paraId="398FD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1"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14:paraId="03D9CB6F">
            <w:pPr>
              <w:spacing w:line="360" w:lineRule="auto"/>
              <w:jc w:val="center"/>
              <w:rPr>
                <w:rFonts w:cs="方正仿宋_GBK"/>
                <w:sz w:val="24"/>
                <w:szCs w:val="24"/>
              </w:rPr>
            </w:pPr>
            <w:r>
              <w:rPr>
                <w:rFonts w:hint="eastAsia" w:ascii="方正仿宋_GBK" w:hAnsi="方正仿宋_GBK" w:eastAsia="方正仿宋_GBK" w:cs="方正仿宋_GBK"/>
                <w:sz w:val="24"/>
                <w:szCs w:val="24"/>
              </w:rPr>
              <w:t>备注</w:t>
            </w:r>
          </w:p>
        </w:tc>
        <w:tc>
          <w:tcPr>
            <w:tcW w:w="6521" w:type="dxa"/>
            <w:gridSpan w:val="10"/>
            <w:tcBorders>
              <w:top w:val="single" w:color="auto" w:sz="4" w:space="0"/>
              <w:left w:val="single" w:color="auto" w:sz="4" w:space="0"/>
              <w:bottom w:val="single" w:color="auto" w:sz="4" w:space="0"/>
              <w:right w:val="single" w:color="auto" w:sz="4" w:space="0"/>
            </w:tcBorders>
            <w:noWrap w:val="0"/>
            <w:vAlign w:val="center"/>
          </w:tcPr>
          <w:p w14:paraId="179E6AEC">
            <w:pPr>
              <w:spacing w:line="360" w:lineRule="auto"/>
              <w:ind w:firstLine="480" w:firstLineChars="200"/>
              <w:jc w:val="center"/>
              <w:rPr>
                <w:rFonts w:cs="方正仿宋_GBK"/>
                <w:sz w:val="24"/>
                <w:szCs w:val="24"/>
              </w:rPr>
            </w:pPr>
          </w:p>
        </w:tc>
      </w:tr>
    </w:tbl>
    <w:p w14:paraId="3A6BDE13">
      <w:pPr>
        <w:spacing w:line="360" w:lineRule="auto"/>
        <w:rPr>
          <w:rFonts w:cs="方正仿宋_GBK"/>
          <w:szCs w:val="28"/>
        </w:rPr>
      </w:pPr>
    </w:p>
    <w:p w14:paraId="03541CF3">
      <w:pPr>
        <w:spacing w:line="360" w:lineRule="auto"/>
        <w:rPr>
          <w:rFonts w:cs="方正仿宋_GBK"/>
          <w:szCs w:val="28"/>
        </w:rPr>
      </w:pPr>
    </w:p>
    <w:p w14:paraId="62727518">
      <w:pPr>
        <w:spacing w:line="360" w:lineRule="auto"/>
        <w:rPr>
          <w:rFonts w:cs="方正仿宋_GBK"/>
        </w:rPr>
      </w:pPr>
      <w:r>
        <w:rPr>
          <w:rFonts w:hint="eastAsia" w:ascii="方正仿宋_GBK" w:hAnsi="方正仿宋_GBK" w:eastAsia="方正仿宋_GBK" w:cs="方正仿宋_GBK"/>
          <w:sz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rPr>
        <w:t>（加盖单位公章）</w:t>
      </w:r>
    </w:p>
    <w:p w14:paraId="3B1962F0">
      <w:pPr>
        <w:spacing w:line="360" w:lineRule="auto"/>
        <w:rPr>
          <w:rFonts w:cs="方正仿宋_GBK"/>
        </w:rPr>
      </w:pPr>
      <w:r>
        <w:rPr>
          <w:rFonts w:hint="eastAsia" w:ascii="方正仿宋_GBK" w:hAnsi="方正仿宋_GBK" w:eastAsia="方正仿宋_GBK" w:cs="方正仿宋_GBK"/>
          <w:sz w:val="28"/>
        </w:rPr>
        <w:t>供应商代表（签字）：</w:t>
      </w:r>
    </w:p>
    <w:p w14:paraId="0B828FF4">
      <w:pPr>
        <w:spacing w:line="360" w:lineRule="auto"/>
        <w:rPr>
          <w:rFonts w:cs="方正仿宋_GBK"/>
          <w:szCs w:val="28"/>
        </w:rPr>
      </w:pPr>
      <w:r>
        <w:rPr>
          <w:rFonts w:hint="eastAsia" w:ascii="方正仿宋_GBK" w:hAnsi="方正仿宋_GBK" w:eastAsia="方正仿宋_GBK" w:cs="方正仿宋_GBK"/>
          <w:sz w:val="28"/>
        </w:rPr>
        <w:t>日期：</w:t>
      </w:r>
    </w:p>
    <w:p w14:paraId="37F3D001">
      <w:pPr>
        <w:pStyle w:val="4"/>
        <w:jc w:val="center"/>
      </w:pPr>
      <w:bookmarkStart w:id="23" w:name="_Toc10905"/>
      <w:r>
        <w:t>中小企业声明函（货物类适用）</w:t>
      </w:r>
      <w:bookmarkEnd w:id="23"/>
    </w:p>
    <w:p w14:paraId="56153ACA">
      <w:pPr>
        <w:spacing w:line="540" w:lineRule="exact"/>
        <w:ind w:firstLine="560" w:firstLineChars="200"/>
        <w:rPr>
          <w:rFonts w:cs="方正仿宋_GBK"/>
          <w:szCs w:val="28"/>
        </w:rPr>
      </w:pPr>
      <w:r>
        <w:rPr>
          <w:rFonts w:hint="eastAsia" w:ascii="方正仿宋_GBK" w:hAnsi="方正仿宋_GBK" w:eastAsia="方正仿宋_GBK" w:cs="方正仿宋_GBK"/>
          <w:sz w:val="28"/>
          <w:szCs w:val="28"/>
        </w:rPr>
        <w:t>本公司（联合体）郑重声明，根据《政府采购促进中小企业发展管理办法》（财库﹝2020﹞46号）的规定，本公司（联合体）参加</w:t>
      </w:r>
      <w:r>
        <w:rPr>
          <w:rFonts w:hint="eastAsia" w:ascii="方正仿宋_GBK" w:hAnsi="方正仿宋_GBK" w:eastAsia="方正仿宋_GBK" w:cs="方正仿宋_GBK"/>
          <w:sz w:val="28"/>
          <w:szCs w:val="28"/>
          <w:u w:val="single"/>
        </w:rPr>
        <w:t>（单位名称）</w:t>
      </w:r>
      <w:r>
        <w:rPr>
          <w:rFonts w:hint="eastAsia" w:ascii="方正仿宋_GBK" w:hAnsi="方正仿宋_GBK" w:eastAsia="方正仿宋_GBK" w:cs="方正仿宋_GBK"/>
          <w:sz w:val="28"/>
          <w:szCs w:val="28"/>
        </w:rPr>
        <w:t>的</w:t>
      </w:r>
      <w:r>
        <w:rPr>
          <w:rFonts w:hint="eastAsia" w:ascii="方正仿宋_GBK" w:hAnsi="方正仿宋_GBK" w:eastAsia="方正仿宋_GBK" w:cs="方正仿宋_GBK"/>
          <w:sz w:val="28"/>
          <w:szCs w:val="28"/>
          <w:u w:val="single"/>
        </w:rPr>
        <w:t>（项目名称）</w:t>
      </w:r>
      <w:r>
        <w:rPr>
          <w:rFonts w:hint="eastAsia" w:ascii="方正仿宋_GBK" w:hAnsi="方正仿宋_GBK" w:eastAsia="方正仿宋_GBK" w:cs="方正仿宋_GBK"/>
          <w:sz w:val="28"/>
          <w:szCs w:val="28"/>
        </w:rPr>
        <w:t>采购活动，提供的货物全部由符合政策要求的中小企业制造。相关企业（含联合体中的中小企业、签订分包意向协议的中小企业）的具体情况如下：</w:t>
      </w:r>
    </w:p>
    <w:p w14:paraId="65390D59">
      <w:pPr>
        <w:spacing w:line="540" w:lineRule="exact"/>
        <w:ind w:firstLine="560" w:firstLineChars="200"/>
        <w:rPr>
          <w:rFonts w:cs="方正仿宋_GBK"/>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u w:val="single"/>
        </w:rPr>
        <w:t xml:space="preserve"> （标的名称）</w:t>
      </w:r>
      <w:r>
        <w:rPr>
          <w:rFonts w:hint="eastAsia" w:ascii="方正仿宋_GBK" w:hAnsi="方正仿宋_GBK" w:eastAsia="方正仿宋_GBK" w:cs="方正仿宋_GBK"/>
          <w:sz w:val="28"/>
          <w:szCs w:val="28"/>
        </w:rPr>
        <w:t>，属于</w:t>
      </w:r>
      <w:r>
        <w:rPr>
          <w:rFonts w:hint="eastAsia" w:ascii="方正仿宋_GBK" w:hAnsi="方正仿宋_GBK" w:eastAsia="方正仿宋_GBK" w:cs="方正仿宋_GBK"/>
          <w:sz w:val="28"/>
          <w:szCs w:val="28"/>
          <w:u w:val="single"/>
        </w:rPr>
        <w:t>（采购文件中明确的所属行业）</w:t>
      </w:r>
      <w:r>
        <w:rPr>
          <w:rFonts w:hint="eastAsia" w:ascii="方正仿宋_GBK" w:hAnsi="方正仿宋_GBK" w:eastAsia="方正仿宋_GBK" w:cs="方正仿宋_GBK"/>
          <w:sz w:val="28"/>
          <w:szCs w:val="28"/>
        </w:rPr>
        <w:t>行业；制造商为</w:t>
      </w:r>
      <w:r>
        <w:rPr>
          <w:rFonts w:hint="eastAsia" w:ascii="方正仿宋_GBK" w:hAnsi="方正仿宋_GBK" w:eastAsia="方正仿宋_GBK" w:cs="方正仿宋_GBK"/>
          <w:sz w:val="28"/>
          <w:szCs w:val="28"/>
          <w:u w:val="single"/>
        </w:rPr>
        <w:t>（企业名称）</w:t>
      </w:r>
      <w:r>
        <w:rPr>
          <w:rFonts w:hint="eastAsia" w:ascii="方正仿宋_GBK" w:hAnsi="方正仿宋_GBK" w:eastAsia="方正仿宋_GBK" w:cs="方正仿宋_GBK"/>
          <w:sz w:val="28"/>
          <w:szCs w:val="28"/>
        </w:rPr>
        <w:t>，从业人员人，营业收入为万元，资产总额为万元，属于</w:t>
      </w:r>
      <w:r>
        <w:rPr>
          <w:rFonts w:hint="eastAsia" w:ascii="方正仿宋_GBK" w:hAnsi="方正仿宋_GBK" w:eastAsia="方正仿宋_GBK" w:cs="方正仿宋_GBK"/>
          <w:sz w:val="28"/>
          <w:szCs w:val="28"/>
          <w:u w:val="single"/>
        </w:rPr>
        <w:t>（中型企业、小型企业、微型企业）</w:t>
      </w:r>
      <w:r>
        <w:rPr>
          <w:rFonts w:hint="eastAsia" w:ascii="方正仿宋_GBK" w:hAnsi="方正仿宋_GBK" w:eastAsia="方正仿宋_GBK" w:cs="方正仿宋_GBK"/>
          <w:sz w:val="28"/>
          <w:szCs w:val="28"/>
        </w:rPr>
        <w:t>；</w:t>
      </w:r>
    </w:p>
    <w:p w14:paraId="2864E34F">
      <w:pPr>
        <w:spacing w:line="540" w:lineRule="exact"/>
        <w:ind w:firstLine="560" w:firstLineChars="200"/>
        <w:rPr>
          <w:rFonts w:cs="方正仿宋_GBK"/>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u w:val="single"/>
        </w:rPr>
        <w:t xml:space="preserve"> （标的名称）</w:t>
      </w:r>
      <w:r>
        <w:rPr>
          <w:rFonts w:hint="eastAsia" w:ascii="方正仿宋_GBK" w:hAnsi="方正仿宋_GBK" w:eastAsia="方正仿宋_GBK" w:cs="方正仿宋_GBK"/>
          <w:sz w:val="28"/>
          <w:szCs w:val="28"/>
        </w:rPr>
        <w:t>，属于</w:t>
      </w:r>
      <w:r>
        <w:rPr>
          <w:rFonts w:hint="eastAsia" w:ascii="方正仿宋_GBK" w:hAnsi="方正仿宋_GBK" w:eastAsia="方正仿宋_GBK" w:cs="方正仿宋_GBK"/>
          <w:sz w:val="28"/>
          <w:szCs w:val="28"/>
          <w:u w:val="single"/>
        </w:rPr>
        <w:t>（采购文件中明确的所属行业）</w:t>
      </w:r>
      <w:r>
        <w:rPr>
          <w:rFonts w:hint="eastAsia" w:ascii="方正仿宋_GBK" w:hAnsi="方正仿宋_GBK" w:eastAsia="方正仿宋_GBK" w:cs="方正仿宋_GBK"/>
          <w:sz w:val="28"/>
          <w:szCs w:val="28"/>
        </w:rPr>
        <w:t>行业；制造商为</w:t>
      </w:r>
      <w:r>
        <w:rPr>
          <w:rFonts w:hint="eastAsia" w:ascii="方正仿宋_GBK" w:hAnsi="方正仿宋_GBK" w:eastAsia="方正仿宋_GBK" w:cs="方正仿宋_GBK"/>
          <w:sz w:val="28"/>
          <w:szCs w:val="28"/>
          <w:u w:val="single"/>
        </w:rPr>
        <w:t>（企业名称）</w:t>
      </w:r>
      <w:r>
        <w:rPr>
          <w:rFonts w:hint="eastAsia" w:ascii="方正仿宋_GBK" w:hAnsi="方正仿宋_GBK" w:eastAsia="方正仿宋_GBK" w:cs="方正仿宋_GBK"/>
          <w:sz w:val="28"/>
          <w:szCs w:val="28"/>
        </w:rPr>
        <w:t>，从业人员人，营业收入为万元，资产总额为万元，属于</w:t>
      </w:r>
      <w:r>
        <w:rPr>
          <w:rFonts w:hint="eastAsia" w:ascii="方正仿宋_GBK" w:hAnsi="方正仿宋_GBK" w:eastAsia="方正仿宋_GBK" w:cs="方正仿宋_GBK"/>
          <w:sz w:val="28"/>
          <w:szCs w:val="28"/>
          <w:u w:val="single"/>
        </w:rPr>
        <w:t>（中型企业、小型 企业、微型企业）</w:t>
      </w:r>
      <w:r>
        <w:rPr>
          <w:rFonts w:hint="eastAsia" w:ascii="方正仿宋_GBK" w:hAnsi="方正仿宋_GBK" w:eastAsia="方正仿宋_GBK" w:cs="方正仿宋_GBK"/>
          <w:sz w:val="28"/>
          <w:szCs w:val="28"/>
        </w:rPr>
        <w:t>；</w:t>
      </w:r>
    </w:p>
    <w:p w14:paraId="390D11EA">
      <w:pPr>
        <w:spacing w:line="540" w:lineRule="exact"/>
        <w:ind w:firstLine="560" w:firstLineChars="200"/>
        <w:rPr>
          <w:rFonts w:cs="方正仿宋_GBK"/>
          <w:szCs w:val="28"/>
        </w:rPr>
      </w:pPr>
      <w:r>
        <w:rPr>
          <w:rFonts w:hint="eastAsia" w:ascii="方正仿宋_GBK" w:hAnsi="方正仿宋_GBK" w:eastAsia="方正仿宋_GBK" w:cs="方正仿宋_GBK"/>
          <w:sz w:val="28"/>
          <w:szCs w:val="28"/>
        </w:rPr>
        <w:t xml:space="preserve">…… </w:t>
      </w:r>
    </w:p>
    <w:p w14:paraId="41BB8A8C">
      <w:pPr>
        <w:spacing w:line="540" w:lineRule="exact"/>
        <w:ind w:firstLine="560" w:firstLineChars="200"/>
        <w:rPr>
          <w:rFonts w:cs="方正仿宋_GBK"/>
          <w:szCs w:val="28"/>
        </w:rPr>
      </w:pPr>
      <w:r>
        <w:rPr>
          <w:rFonts w:hint="eastAsia" w:ascii="方正仿宋_GBK" w:hAnsi="方正仿宋_GBK" w:eastAsia="方正仿宋_GBK" w:cs="方正仿宋_GBK"/>
          <w:sz w:val="28"/>
          <w:szCs w:val="28"/>
        </w:rPr>
        <w:t>以上企业，不属于大企业的分支机构，不存在控股股东为大企业的情形，也不存在与大企业的负责人为同一人的情形。</w:t>
      </w:r>
    </w:p>
    <w:p w14:paraId="04AE61D4">
      <w:pPr>
        <w:spacing w:line="540" w:lineRule="exact"/>
        <w:ind w:firstLine="560" w:firstLineChars="200"/>
        <w:rPr>
          <w:rFonts w:cs="方正仿宋_GBK"/>
          <w:szCs w:val="28"/>
        </w:rPr>
      </w:pPr>
      <w:r>
        <w:rPr>
          <w:rFonts w:hint="eastAsia" w:ascii="方正仿宋_GBK" w:hAnsi="方正仿宋_GBK" w:eastAsia="方正仿宋_GBK" w:cs="方正仿宋_GBK"/>
          <w:sz w:val="28"/>
          <w:szCs w:val="28"/>
        </w:rPr>
        <w:t>本企业对上述声明内容的真实性负责。如有虚假，将依 法承担相应责任。</w:t>
      </w:r>
    </w:p>
    <w:p w14:paraId="7E357AB9">
      <w:pPr>
        <w:spacing w:line="540" w:lineRule="exact"/>
        <w:ind w:firstLine="560" w:firstLineChars="200"/>
        <w:rPr>
          <w:rFonts w:cs="方正仿宋_GBK"/>
          <w:szCs w:val="28"/>
        </w:rPr>
      </w:pPr>
      <w:r>
        <w:rPr>
          <w:rFonts w:hint="eastAsia" w:ascii="方正仿宋_GBK" w:hAnsi="方正仿宋_GBK" w:eastAsia="方正仿宋_GBK" w:cs="方正仿宋_GBK"/>
          <w:sz w:val="28"/>
          <w:szCs w:val="28"/>
        </w:rPr>
        <w:t>企业名称（盖章）：</w:t>
      </w:r>
    </w:p>
    <w:p w14:paraId="3FF126D6">
      <w:pPr>
        <w:spacing w:line="540" w:lineRule="exact"/>
        <w:ind w:firstLine="560" w:firstLineChars="200"/>
        <w:rPr>
          <w:rFonts w:cs="方正仿宋_GBK"/>
          <w:szCs w:val="28"/>
        </w:rPr>
      </w:pPr>
      <w:r>
        <w:rPr>
          <w:rFonts w:hint="eastAsia" w:ascii="方正仿宋_GBK" w:hAnsi="方正仿宋_GBK" w:eastAsia="方正仿宋_GBK" w:cs="方正仿宋_GBK"/>
          <w:sz w:val="28"/>
          <w:szCs w:val="28"/>
        </w:rPr>
        <w:t xml:space="preserve"> 日 期：</w:t>
      </w:r>
    </w:p>
    <w:p w14:paraId="11363F55">
      <w:pPr>
        <w:spacing w:line="540" w:lineRule="exact"/>
        <w:rPr>
          <w:rFonts w:cs="方正仿宋_GBK"/>
          <w:b/>
          <w:szCs w:val="28"/>
        </w:rPr>
      </w:pPr>
    </w:p>
    <w:p w14:paraId="775F88E2">
      <w:pPr>
        <w:spacing w:line="540" w:lineRule="exact"/>
        <w:rPr>
          <w:rFonts w:cs="方正仿宋_GBK"/>
          <w:b/>
          <w:bCs/>
          <w:szCs w:val="28"/>
        </w:rPr>
      </w:pPr>
      <w:r>
        <w:rPr>
          <w:rFonts w:hint="eastAsia" w:ascii="方正仿宋_GBK" w:hAnsi="方正仿宋_GBK" w:eastAsia="方正仿宋_GBK" w:cs="方正仿宋_GBK"/>
          <w:b/>
          <w:sz w:val="28"/>
          <w:szCs w:val="28"/>
        </w:rPr>
        <w:t>注：</w:t>
      </w:r>
      <w:r>
        <w:rPr>
          <w:rFonts w:hint="eastAsia" w:ascii="方正仿宋_GBK" w:hAnsi="方正仿宋_GBK" w:eastAsia="方正仿宋_GBK" w:cs="方正仿宋_GBK"/>
          <w:b/>
          <w:bCs/>
          <w:sz w:val="28"/>
          <w:szCs w:val="28"/>
        </w:rPr>
        <w:t>从业人员、营业收入、资产总额填报上一年度数据，无上一年度数据的新成立企业可不填报。</w:t>
      </w:r>
    </w:p>
    <w:p w14:paraId="75946966">
      <w:pPr>
        <w:spacing w:line="360" w:lineRule="auto"/>
        <w:jc w:val="center"/>
        <w:rPr>
          <w:rFonts w:cs="方正仿宋_GBK"/>
          <w:b/>
          <w:bCs/>
          <w:szCs w:val="32"/>
        </w:rPr>
      </w:pPr>
      <w:r>
        <w:rPr>
          <w:rFonts w:hint="eastAsia" w:ascii="方正仿宋_GBK" w:hAnsi="方正仿宋_GBK" w:eastAsia="方正仿宋_GBK" w:cs="方正仿宋_GBK"/>
          <w:b/>
          <w:bCs/>
          <w:sz w:val="28"/>
          <w:szCs w:val="32"/>
        </w:rPr>
        <w:br w:type="page"/>
      </w:r>
      <w:r>
        <w:rPr>
          <w:rFonts w:hint="eastAsia" w:ascii="方正仿宋_GBK" w:hAnsi="方正仿宋_GBK" w:eastAsia="方正仿宋_GBK" w:cs="方正仿宋_GBK"/>
          <w:b/>
          <w:bCs/>
          <w:sz w:val="28"/>
          <w:szCs w:val="32"/>
        </w:rPr>
        <w:t>中小企业声明函（工程、服务类适用）</w:t>
      </w:r>
    </w:p>
    <w:p w14:paraId="615D141B">
      <w:pPr>
        <w:spacing w:line="520" w:lineRule="exact"/>
        <w:ind w:firstLine="560" w:firstLineChars="200"/>
        <w:jc w:val="left"/>
        <w:rPr>
          <w:rFonts w:cs="方正仿宋_GBK"/>
          <w:szCs w:val="28"/>
        </w:rPr>
      </w:pPr>
      <w:r>
        <w:rPr>
          <w:rFonts w:hint="eastAsia" w:ascii="方正仿宋_GBK" w:hAnsi="方正仿宋_GBK" w:eastAsia="方正仿宋_GBK" w:cs="方正仿宋_GBK"/>
          <w:sz w:val="28"/>
          <w:szCs w:val="28"/>
        </w:rPr>
        <w:t>本公司（联合体）郑重声明，根据《政府采购促进中小企业发展管理办法》（财库[2020]46号）的规定，本公司（联合体）参加</w:t>
      </w:r>
      <w:r>
        <w:rPr>
          <w:rFonts w:hint="eastAsia" w:ascii="方正仿宋_GBK" w:hAnsi="方正仿宋_GBK" w:eastAsia="方正仿宋_GBK" w:cs="方正仿宋_GBK"/>
          <w:sz w:val="28"/>
          <w:szCs w:val="28"/>
          <w:u w:val="single"/>
        </w:rPr>
        <w:t xml:space="preserve">  （单位名称）</w:t>
      </w:r>
      <w:r>
        <w:rPr>
          <w:rFonts w:hint="eastAsia" w:ascii="方正仿宋_GBK" w:hAnsi="方正仿宋_GBK" w:eastAsia="方正仿宋_GBK" w:cs="方正仿宋_GBK"/>
          <w:sz w:val="28"/>
          <w:szCs w:val="28"/>
        </w:rPr>
        <w:t>的</w:t>
      </w:r>
      <w:r>
        <w:rPr>
          <w:rFonts w:hint="eastAsia" w:ascii="方正仿宋_GBK" w:hAnsi="方正仿宋_GBK" w:eastAsia="方正仿宋_GBK" w:cs="方正仿宋_GBK"/>
          <w:sz w:val="28"/>
          <w:szCs w:val="28"/>
          <w:u w:val="single"/>
        </w:rPr>
        <w:t xml:space="preserve">    （项目名称）</w:t>
      </w:r>
      <w:r>
        <w:rPr>
          <w:rFonts w:hint="eastAsia" w:ascii="方正仿宋_GBK" w:hAnsi="方正仿宋_GBK" w:eastAsia="方正仿宋_GBK" w:cs="方正仿宋_GBK"/>
          <w:sz w:val="28"/>
          <w:szCs w:val="28"/>
        </w:rPr>
        <w:t>采购活动，工程的施工单位全部为符合政策要求的中小企业（或者：服务全部由符合政策要求的中小企业承接）。相关企业（含联合体中的中小企业、签订分包意向协议的中小企业）的具体情况如下：</w:t>
      </w:r>
    </w:p>
    <w:p w14:paraId="6FBF605F">
      <w:pPr>
        <w:spacing w:line="520" w:lineRule="exact"/>
        <w:ind w:firstLine="560" w:firstLineChars="200"/>
        <w:jc w:val="left"/>
        <w:rPr>
          <w:rFonts w:cs="方正仿宋_GBK"/>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u w:val="single"/>
        </w:rPr>
        <w:t>（标的名称）</w:t>
      </w:r>
      <w:r>
        <w:rPr>
          <w:rFonts w:hint="eastAsia" w:ascii="方正仿宋_GBK" w:hAnsi="方正仿宋_GBK" w:eastAsia="方正仿宋_GBK" w:cs="方正仿宋_GBK"/>
          <w:sz w:val="28"/>
          <w:szCs w:val="28"/>
        </w:rPr>
        <w:t>，属于</w:t>
      </w:r>
      <w:r>
        <w:rPr>
          <w:rFonts w:hint="eastAsia" w:ascii="方正仿宋_GBK" w:hAnsi="方正仿宋_GBK" w:eastAsia="方正仿宋_GBK" w:cs="方正仿宋_GBK"/>
          <w:sz w:val="28"/>
          <w:szCs w:val="28"/>
          <w:u w:val="single"/>
        </w:rPr>
        <w:t>（采购文件中明确的所属行业）</w:t>
      </w:r>
      <w:r>
        <w:rPr>
          <w:rFonts w:hint="eastAsia" w:ascii="方正仿宋_GBK" w:hAnsi="方正仿宋_GBK" w:eastAsia="方正仿宋_GBK" w:cs="方正仿宋_GBK"/>
          <w:sz w:val="28"/>
          <w:szCs w:val="28"/>
        </w:rPr>
        <w:t>承建（承接）企业为</w:t>
      </w:r>
      <w:r>
        <w:rPr>
          <w:rFonts w:hint="eastAsia" w:ascii="方正仿宋_GBK" w:hAnsi="方正仿宋_GBK" w:eastAsia="方正仿宋_GBK" w:cs="方正仿宋_GBK"/>
          <w:sz w:val="28"/>
          <w:szCs w:val="28"/>
          <w:u w:val="single"/>
        </w:rPr>
        <w:t>（企业名称）</w:t>
      </w:r>
      <w:r>
        <w:rPr>
          <w:rFonts w:hint="eastAsia" w:ascii="方正仿宋_GBK" w:hAnsi="方正仿宋_GBK" w:eastAsia="方正仿宋_GBK" w:cs="方正仿宋_GBK"/>
          <w:sz w:val="28"/>
          <w:szCs w:val="28"/>
        </w:rPr>
        <w:t>，从业人员人，营业收入为万元，资产总额为万元，属于</w:t>
      </w:r>
      <w:r>
        <w:rPr>
          <w:rFonts w:hint="eastAsia" w:ascii="方正仿宋_GBK" w:hAnsi="方正仿宋_GBK" w:eastAsia="方正仿宋_GBK" w:cs="方正仿宋_GBK"/>
          <w:sz w:val="28"/>
          <w:szCs w:val="28"/>
          <w:u w:val="single"/>
        </w:rPr>
        <w:t>（中型企业、小型企业、微型企业）</w:t>
      </w:r>
      <w:r>
        <w:rPr>
          <w:rFonts w:hint="eastAsia" w:ascii="方正仿宋_GBK" w:hAnsi="方正仿宋_GBK" w:eastAsia="方正仿宋_GBK" w:cs="方正仿宋_GBK"/>
          <w:sz w:val="28"/>
          <w:szCs w:val="28"/>
        </w:rPr>
        <w:t xml:space="preserve"> ；</w:t>
      </w:r>
    </w:p>
    <w:p w14:paraId="6321F62C">
      <w:pPr>
        <w:spacing w:line="520" w:lineRule="exact"/>
        <w:ind w:firstLine="560" w:firstLineChars="200"/>
        <w:jc w:val="left"/>
        <w:rPr>
          <w:rFonts w:cs="方正仿宋_GBK"/>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u w:val="single"/>
        </w:rPr>
        <w:t>（标的名称）</w:t>
      </w:r>
      <w:r>
        <w:rPr>
          <w:rFonts w:hint="eastAsia" w:ascii="方正仿宋_GBK" w:hAnsi="方正仿宋_GBK" w:eastAsia="方正仿宋_GBK" w:cs="方正仿宋_GBK"/>
          <w:sz w:val="28"/>
          <w:szCs w:val="28"/>
        </w:rPr>
        <w:t>，属于</w:t>
      </w:r>
      <w:r>
        <w:rPr>
          <w:rFonts w:hint="eastAsia" w:ascii="方正仿宋_GBK" w:hAnsi="方正仿宋_GBK" w:eastAsia="方正仿宋_GBK" w:cs="方正仿宋_GBK"/>
          <w:sz w:val="28"/>
          <w:szCs w:val="28"/>
          <w:u w:val="single"/>
        </w:rPr>
        <w:t>（采购文件中明确的所属行业）</w:t>
      </w:r>
      <w:r>
        <w:rPr>
          <w:rFonts w:hint="eastAsia" w:ascii="方正仿宋_GBK" w:hAnsi="方正仿宋_GBK" w:eastAsia="方正仿宋_GBK" w:cs="方正仿宋_GBK"/>
          <w:sz w:val="28"/>
          <w:szCs w:val="28"/>
        </w:rPr>
        <w:t>承建（承接）企业为</w:t>
      </w:r>
      <w:r>
        <w:rPr>
          <w:rFonts w:hint="eastAsia" w:ascii="方正仿宋_GBK" w:hAnsi="方正仿宋_GBK" w:eastAsia="方正仿宋_GBK" w:cs="方正仿宋_GBK"/>
          <w:sz w:val="28"/>
          <w:szCs w:val="28"/>
          <w:u w:val="single"/>
        </w:rPr>
        <w:t>（企业名称）</w:t>
      </w:r>
      <w:r>
        <w:rPr>
          <w:rFonts w:hint="eastAsia" w:ascii="方正仿宋_GBK" w:hAnsi="方正仿宋_GBK" w:eastAsia="方正仿宋_GBK" w:cs="方正仿宋_GBK"/>
          <w:sz w:val="28"/>
          <w:szCs w:val="28"/>
        </w:rPr>
        <w:t>，从业人员人，营业收入为万元，资产总额为万元，属于</w:t>
      </w:r>
      <w:r>
        <w:rPr>
          <w:rFonts w:hint="eastAsia" w:ascii="方正仿宋_GBK" w:hAnsi="方正仿宋_GBK" w:eastAsia="方正仿宋_GBK" w:cs="方正仿宋_GBK"/>
          <w:sz w:val="28"/>
          <w:szCs w:val="28"/>
          <w:u w:val="single"/>
        </w:rPr>
        <w:t>（中型企业、小型企业、微型企业）</w:t>
      </w:r>
      <w:r>
        <w:rPr>
          <w:rFonts w:hint="eastAsia" w:ascii="方正仿宋_GBK" w:hAnsi="方正仿宋_GBK" w:eastAsia="方正仿宋_GBK" w:cs="方正仿宋_GBK"/>
          <w:sz w:val="28"/>
          <w:szCs w:val="28"/>
        </w:rPr>
        <w:t xml:space="preserve"> ；</w:t>
      </w:r>
    </w:p>
    <w:p w14:paraId="5A41FC95">
      <w:pPr>
        <w:spacing w:line="520" w:lineRule="exact"/>
        <w:ind w:firstLine="560" w:firstLineChars="200"/>
        <w:jc w:val="left"/>
        <w:rPr>
          <w:rFonts w:cs="方正仿宋_GBK"/>
          <w:szCs w:val="28"/>
        </w:rPr>
      </w:pPr>
      <w:r>
        <w:rPr>
          <w:rFonts w:hint="eastAsia" w:ascii="方正仿宋_GBK" w:hAnsi="方正仿宋_GBK" w:eastAsia="方正仿宋_GBK" w:cs="方正仿宋_GBK"/>
          <w:sz w:val="28"/>
          <w:szCs w:val="28"/>
        </w:rPr>
        <w:t>......</w:t>
      </w:r>
    </w:p>
    <w:p w14:paraId="3A8FFC98">
      <w:pPr>
        <w:spacing w:line="520" w:lineRule="exact"/>
        <w:ind w:firstLine="560" w:firstLineChars="200"/>
        <w:jc w:val="left"/>
        <w:rPr>
          <w:rFonts w:cs="方正仿宋_GBK"/>
          <w:szCs w:val="28"/>
        </w:rPr>
      </w:pPr>
      <w:r>
        <w:rPr>
          <w:rFonts w:hint="eastAsia" w:ascii="方正仿宋_GBK" w:hAnsi="方正仿宋_GBK" w:eastAsia="方正仿宋_GBK" w:cs="方正仿宋_GBK"/>
          <w:sz w:val="28"/>
          <w:szCs w:val="28"/>
        </w:rPr>
        <w:t>以上企业，不属于大企业的分支机构，不存在控股股东为大企业的情形，也不存在与大企业的负责人为同一人的情形。</w:t>
      </w:r>
    </w:p>
    <w:p w14:paraId="0A8CA421">
      <w:pPr>
        <w:spacing w:line="520" w:lineRule="exact"/>
        <w:ind w:firstLine="560" w:firstLineChars="200"/>
        <w:jc w:val="left"/>
        <w:rPr>
          <w:rFonts w:cs="方正仿宋_GBK"/>
          <w:szCs w:val="28"/>
        </w:rPr>
      </w:pPr>
      <w:r>
        <w:rPr>
          <w:rFonts w:hint="eastAsia" w:ascii="方正仿宋_GBK" w:hAnsi="方正仿宋_GBK" w:eastAsia="方正仿宋_GBK" w:cs="方正仿宋_GBK"/>
          <w:sz w:val="28"/>
          <w:szCs w:val="28"/>
        </w:rPr>
        <w:t>本企业对上述声明内容的真实性负责。如有虚假，将依法承担相应责任。</w:t>
      </w:r>
    </w:p>
    <w:p w14:paraId="0897B846">
      <w:pPr>
        <w:spacing w:line="520" w:lineRule="exact"/>
        <w:jc w:val="left"/>
        <w:rPr>
          <w:rFonts w:cs="方正仿宋_GBK"/>
          <w:szCs w:val="28"/>
        </w:rPr>
      </w:pPr>
      <w:r>
        <w:rPr>
          <w:rFonts w:hint="eastAsia" w:ascii="方正仿宋_GBK" w:hAnsi="方正仿宋_GBK" w:eastAsia="方正仿宋_GBK" w:cs="方正仿宋_GBK"/>
          <w:sz w:val="28"/>
          <w:szCs w:val="28"/>
        </w:rPr>
        <w:t>企业名称（盖章）：</w:t>
      </w:r>
    </w:p>
    <w:p w14:paraId="236E7A1B">
      <w:pPr>
        <w:spacing w:line="520" w:lineRule="exact"/>
        <w:ind w:firstLine="280" w:firstLineChars="100"/>
        <w:jc w:val="left"/>
        <w:rPr>
          <w:rFonts w:cs="方正仿宋_GBK"/>
          <w:szCs w:val="28"/>
        </w:rPr>
      </w:pPr>
      <w:r>
        <w:rPr>
          <w:rFonts w:hint="eastAsia" w:ascii="方正仿宋_GBK" w:hAnsi="方正仿宋_GBK" w:eastAsia="方正仿宋_GBK" w:cs="方正仿宋_GBK"/>
          <w:sz w:val="28"/>
          <w:szCs w:val="28"/>
        </w:rPr>
        <w:t>日 期：</w:t>
      </w:r>
    </w:p>
    <w:p w14:paraId="4E5EA055">
      <w:pPr>
        <w:spacing w:line="520" w:lineRule="exact"/>
        <w:jc w:val="left"/>
        <w:rPr>
          <w:rFonts w:cs="方正仿宋_GBK"/>
          <w:b/>
          <w:bCs/>
          <w:szCs w:val="28"/>
        </w:rPr>
      </w:pPr>
    </w:p>
    <w:p w14:paraId="67D50BB7">
      <w:pPr>
        <w:spacing w:line="520" w:lineRule="exact"/>
        <w:jc w:val="left"/>
        <w:rPr>
          <w:rFonts w:cs="方正仿宋_GBK"/>
          <w:b/>
          <w:bCs/>
          <w:szCs w:val="28"/>
        </w:rPr>
      </w:pPr>
      <w:r>
        <w:rPr>
          <w:rFonts w:hint="eastAsia" w:ascii="方正仿宋_GBK" w:hAnsi="方正仿宋_GBK" w:eastAsia="方正仿宋_GBK" w:cs="方正仿宋_GBK"/>
          <w:b/>
          <w:bCs/>
          <w:sz w:val="28"/>
          <w:szCs w:val="28"/>
        </w:rPr>
        <w:t>注：1、从业人员、营业收入、资产总额填报上一年度数据，无上一年度数据的新成立企业可不填报。</w:t>
      </w:r>
    </w:p>
    <w:p w14:paraId="25B4E64F">
      <w:pPr>
        <w:jc w:val="center"/>
      </w:pPr>
      <w:r>
        <w:rPr>
          <w:rFonts w:hint="eastAsia" w:ascii="方正仿宋_GBK" w:hAnsi="方正仿宋_GBK" w:eastAsia="方正仿宋_GBK" w:cs="方正仿宋_GBK"/>
          <w:b/>
          <w:bCs/>
          <w:sz w:val="32"/>
          <w:szCs w:val="32"/>
        </w:rPr>
        <w:br w:type="page"/>
      </w:r>
      <w:bookmarkStart w:id="24" w:name="_Toc19913"/>
      <w:r>
        <w:rPr>
          <w:rFonts w:hint="eastAsia" w:ascii="方正仿宋_GBK" w:hAnsi="方正仿宋_GBK" w:eastAsia="方正仿宋_GBK" w:cs="方正仿宋_GBK"/>
          <w:b/>
          <w:bCs/>
          <w:sz w:val="28"/>
          <w:szCs w:val="32"/>
        </w:rPr>
        <w:t>知识产权声明函</w:t>
      </w:r>
      <w:bookmarkEnd w:id="24"/>
    </w:p>
    <w:p w14:paraId="6641F914">
      <w:pPr>
        <w:spacing w:line="560" w:lineRule="exac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致：四川振嘉工程招标代理有限公司</w:t>
      </w:r>
    </w:p>
    <w:p w14:paraId="0F01BF94">
      <w:pPr>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本单位</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（公司名称）参加</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（项目名称）</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（项目编号）的采购活动，现承诺声明：</w:t>
      </w:r>
    </w:p>
    <w:p w14:paraId="238366C3">
      <w:pPr>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本单位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w:t>
      </w:r>
    </w:p>
    <w:p w14:paraId="577983E5">
      <w:pPr>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2.采购人享有本项目实施过程中产生的知识成果及知识产权。</w:t>
      </w:r>
    </w:p>
    <w:p w14:paraId="7E53E7D6">
      <w:pPr>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本单位声明如果在项目实施过程中涉及采用自有知识成果，本单位提供使用自有知识成果的相关资料并为其真实性单独负责，在使用该知识成果后，本单位提供开发接口和开发手册等技术文档给采购人，并承诺提供无限期技术支持，采购人享有永久使用权（含采购人委托第三方在该项目后续开发的使用权）。</w:t>
      </w:r>
    </w:p>
    <w:p w14:paraId="72E80946">
      <w:pPr>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4.如采用本单位所不拥有的知识产权，本单位承诺在本项目报价中已经包括合法获取该知识产权的相关费用。</w:t>
      </w:r>
    </w:p>
    <w:p w14:paraId="7685B56D">
      <w:pPr>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本公司对上述承诺声明内容事项真实性负责。如经查实上述承诺声明的内容事项存在虚假或未履行，本单位愿意接受以提供虚假材料谋取中标追究法律责任。</w:t>
      </w:r>
    </w:p>
    <w:p w14:paraId="79E8D535">
      <w:pPr>
        <w:spacing w:line="560" w:lineRule="exact"/>
        <w:rPr>
          <w:rFonts w:ascii="方正仿宋_GBK" w:hAnsi="方正仿宋_GBK" w:eastAsia="方正仿宋_GBK" w:cs="方正仿宋_GBK"/>
          <w:kern w:val="0"/>
          <w:sz w:val="28"/>
          <w:szCs w:val="28"/>
        </w:rPr>
      </w:pPr>
    </w:p>
    <w:p w14:paraId="7E939D6B">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（加盖供应商公章）</w:t>
      </w:r>
    </w:p>
    <w:p w14:paraId="7C1C43BD">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kern w:val="0"/>
          <w:sz w:val="28"/>
          <w:szCs w:val="28"/>
        </w:rPr>
        <w:t>：</w:t>
      </w:r>
    </w:p>
    <w:p w14:paraId="14DF565F">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日期：</w:t>
      </w:r>
    </w:p>
    <w:p w14:paraId="02357BA5">
      <w:pPr>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br w:type="page"/>
      </w:r>
    </w:p>
    <w:p w14:paraId="595D61F0">
      <w:pPr>
        <w:pStyle w:val="4"/>
        <w:jc w:val="center"/>
        <w:rPr>
          <w:rFonts w:hint="eastAsia" w:eastAsia="方正仿宋_GBK"/>
          <w:lang w:eastAsia="zh-CN"/>
        </w:rPr>
      </w:pPr>
      <w:bookmarkStart w:id="25" w:name="_Toc7958"/>
      <w:r>
        <w:rPr>
          <w:rFonts w:hint="eastAsia"/>
        </w:rPr>
        <w:t>其他相关材料</w:t>
      </w:r>
      <w:bookmarkEnd w:id="25"/>
    </w:p>
    <w:p w14:paraId="051F0B9B">
      <w:pPr>
        <w:rPr>
          <w:rFonts w:hint="eastAsia"/>
          <w:lang w:eastAsia="zh-CN"/>
        </w:rPr>
      </w:pPr>
    </w:p>
    <w:p w14:paraId="012D4EC3">
      <w:pPr>
        <w:rPr>
          <w:rFonts w:ascii="方正仿宋_GBK" w:hAnsi="方正仿宋_GBK" w:eastAsia="方正仿宋_GBK" w:cs="方正仿宋_GBK"/>
          <w:sz w:val="28"/>
          <w:szCs w:val="28"/>
        </w:rPr>
      </w:pPr>
    </w:p>
    <w:p w14:paraId="6AA0BBA9">
      <w:pPr>
        <w:rPr>
          <w:rFonts w:ascii="方正仿宋_GBK" w:hAnsi="方正仿宋_GBK" w:eastAsia="方正仿宋_GBK" w:cs="方正仿宋_GBK"/>
          <w:sz w:val="28"/>
          <w:szCs w:val="28"/>
        </w:rPr>
      </w:pPr>
    </w:p>
    <w:p w14:paraId="3EE009BB">
      <w:pPr>
        <w:rPr>
          <w:rFonts w:ascii="方正仿宋_GBK" w:hAnsi="方正仿宋_GBK" w:eastAsia="方正仿宋_GBK" w:cs="方正仿宋_GBK"/>
          <w:sz w:val="28"/>
          <w:szCs w:val="28"/>
        </w:rPr>
      </w:pPr>
    </w:p>
    <w:p w14:paraId="2C440434">
      <w:pPr>
        <w:rPr>
          <w:rFonts w:ascii="方正仿宋_GBK" w:hAnsi="方正仿宋_GBK" w:eastAsia="方正仿宋_GBK" w:cs="方正仿宋_GBK"/>
          <w:sz w:val="28"/>
          <w:szCs w:val="28"/>
        </w:rPr>
      </w:pPr>
    </w:p>
    <w:p w14:paraId="6336828E">
      <w:pPr>
        <w:pStyle w:val="7"/>
        <w:rPr>
          <w:rFonts w:ascii="方正仿宋_GBK" w:hAnsi="方正仿宋_GBK" w:eastAsia="方正仿宋_GBK" w:cs="方正仿宋_GBK"/>
          <w:sz w:val="28"/>
          <w:szCs w:val="28"/>
        </w:rPr>
      </w:pPr>
    </w:p>
    <w:p w14:paraId="5E002432">
      <w:pPr>
        <w:spacing w:line="360" w:lineRule="auto"/>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（按采购文件要求提供，格式自拟）</w:t>
      </w:r>
    </w:p>
    <w:p w14:paraId="3BD9861E">
      <w:pPr>
        <w:pStyle w:val="7"/>
        <w:rPr>
          <w:rFonts w:hint="eastAsia"/>
          <w:lang w:eastAsia="zh-CN"/>
        </w:rPr>
      </w:pPr>
    </w:p>
    <w:p w14:paraId="3A864A37">
      <w:pPr>
        <w:spacing w:line="360" w:lineRule="auto"/>
        <w:jc w:val="center"/>
        <w:rPr>
          <w:rFonts w:ascii="方正仿宋_GBK" w:hAnsi="方正仿宋_GBK" w:eastAsia="方正仿宋_GBK" w:cs="方正仿宋_GBK"/>
          <w:sz w:val="28"/>
          <w:szCs w:val="28"/>
        </w:rPr>
      </w:pPr>
    </w:p>
    <w:p w14:paraId="3FE83B75">
      <w:pPr>
        <w:spacing w:line="360" w:lineRule="auto"/>
        <w:rPr>
          <w:rFonts w:ascii="方正仿宋_GBK" w:hAnsi="方正仿宋_GBK" w:eastAsia="方正仿宋_GBK" w:cs="方正仿宋_GBK"/>
          <w:sz w:val="28"/>
          <w:szCs w:val="28"/>
        </w:rPr>
      </w:pPr>
    </w:p>
    <w:p w14:paraId="2A60FABB">
      <w:pPr>
        <w:spacing w:line="360" w:lineRule="auto"/>
        <w:jc w:val="center"/>
        <w:rPr>
          <w:rFonts w:ascii="方正仿宋_GBK" w:hAnsi="方正仿宋_GBK" w:eastAsia="方正仿宋_GBK" w:cs="方正仿宋_GBK"/>
          <w:sz w:val="28"/>
          <w:szCs w:val="28"/>
        </w:rPr>
      </w:pPr>
    </w:p>
    <w:p w14:paraId="02303352">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（加盖供应商公章）</w:t>
      </w:r>
    </w:p>
    <w:p w14:paraId="14FDBE11">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kern w:val="0"/>
          <w:sz w:val="28"/>
          <w:szCs w:val="28"/>
        </w:rPr>
        <w:t>：</w:t>
      </w:r>
    </w:p>
    <w:p w14:paraId="09934E3B">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日期：</w:t>
      </w:r>
    </w:p>
    <w:p w14:paraId="00399CCC">
      <w:pPr>
        <w:pStyle w:val="7"/>
        <w:rPr>
          <w:rFonts w:ascii="方正仿宋_GBK" w:hAnsi="方正仿宋_GBK" w:eastAsia="方正仿宋_GBK" w:cs="方正仿宋_GBK"/>
          <w:sz w:val="28"/>
          <w:szCs w:val="28"/>
        </w:rPr>
      </w:pPr>
    </w:p>
    <w:p w14:paraId="4CBC7FD2">
      <w:pPr>
        <w:spacing w:line="360" w:lineRule="auto"/>
        <w:rPr>
          <w:rFonts w:ascii="方正仿宋_GBK" w:hAnsi="方正仿宋_GBK" w:eastAsia="方正仿宋_GBK" w:cs="方正仿宋_GBK"/>
          <w:sz w:val="28"/>
          <w:szCs w:val="28"/>
        </w:rPr>
      </w:pPr>
    </w:p>
    <w:p w14:paraId="432104C3">
      <w:pPr>
        <w:pStyle w:val="7"/>
        <w:rPr>
          <w:rFonts w:ascii="方正仿宋_GBK" w:hAnsi="方正仿宋_GBK" w:eastAsia="方正仿宋_GBK" w:cs="方正仿宋_GBK"/>
          <w:sz w:val="28"/>
          <w:szCs w:val="28"/>
        </w:rPr>
      </w:pPr>
    </w:p>
    <w:p w14:paraId="16E8C20C">
      <w:pPr>
        <w:rPr>
          <w:rFonts w:ascii="方正仿宋_GBK" w:hAnsi="方正仿宋_GBK" w:eastAsia="方正仿宋_GBK" w:cs="方正仿宋_GBK"/>
          <w:sz w:val="28"/>
          <w:szCs w:val="28"/>
        </w:rPr>
      </w:pPr>
    </w:p>
    <w:p w14:paraId="11CA0FB3">
      <w:pPr>
        <w:pStyle w:val="7"/>
        <w:rPr>
          <w:rFonts w:ascii="方正仿宋_GBK" w:hAnsi="方正仿宋_GBK" w:eastAsia="方正仿宋_GBK" w:cs="方正仿宋_GBK"/>
          <w:sz w:val="28"/>
          <w:szCs w:val="28"/>
        </w:rPr>
      </w:pPr>
    </w:p>
    <w:p w14:paraId="6472CAD1">
      <w:pPr>
        <w:rPr>
          <w:rFonts w:ascii="方正仿宋_GBK" w:hAnsi="方正仿宋_GBK" w:eastAsia="方正仿宋_GBK" w:cs="方正仿宋_GBK"/>
          <w:sz w:val="28"/>
          <w:szCs w:val="28"/>
        </w:rPr>
      </w:pPr>
    </w:p>
    <w:p w14:paraId="071997D1">
      <w:pP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br w:type="page"/>
      </w:r>
    </w:p>
    <w:p w14:paraId="7118E759">
      <w:pPr>
        <w:pStyle w:val="4"/>
        <w:jc w:val="center"/>
        <w:rPr>
          <w:rFonts w:ascii="方正仿宋_GB2312" w:hAnsi="方正仿宋_GB2312" w:eastAsia="方正仿宋_GB2312" w:cs="方正仿宋_GB2312"/>
          <w:sz w:val="28"/>
          <w:szCs w:val="28"/>
        </w:rPr>
      </w:pPr>
      <w:bookmarkStart w:id="26" w:name="_Toc7240"/>
      <w:r>
        <w:rPr>
          <w:rFonts w:hint="eastAsia" w:ascii="方正仿宋_GB2312" w:hAnsi="方正仿宋_GB2312" w:eastAsia="方正仿宋_GB2312" w:cs="方正仿宋_GB2312"/>
          <w:sz w:val="28"/>
          <w:szCs w:val="28"/>
        </w:rPr>
        <w:t>报价单（）轮</w:t>
      </w:r>
    </w:p>
    <w:p w14:paraId="48AFD151">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项目名称：</w:t>
      </w:r>
    </w:p>
    <w:p w14:paraId="616C807A">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项目编号：</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 xml:space="preserve">  </w:t>
      </w:r>
    </w:p>
    <w:tbl>
      <w:tblPr>
        <w:tblStyle w:val="30"/>
        <w:tblpPr w:leftFromText="180" w:rightFromText="180" w:vertAnchor="text" w:horzAnchor="page" w:tblpX="1997" w:tblpY="623"/>
        <w:tblOverlap w:val="never"/>
        <w:tblW w:w="8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510"/>
        <w:gridCol w:w="927"/>
        <w:gridCol w:w="1037"/>
        <w:gridCol w:w="1514"/>
        <w:gridCol w:w="1445"/>
      </w:tblGrid>
      <w:tr w14:paraId="3D40E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exact"/>
        </w:trPr>
        <w:tc>
          <w:tcPr>
            <w:tcW w:w="736" w:type="dxa"/>
            <w:tcBorders>
              <w:top w:val="single" w:color="auto" w:sz="4" w:space="0"/>
              <w:left w:val="single" w:color="auto" w:sz="4" w:space="0"/>
              <w:bottom w:val="single" w:color="auto" w:sz="4" w:space="0"/>
              <w:right w:val="single" w:color="auto" w:sz="4" w:space="0"/>
            </w:tcBorders>
            <w:noWrap w:val="0"/>
            <w:vAlign w:val="center"/>
          </w:tcPr>
          <w:p w14:paraId="617CF489">
            <w:pPr>
              <w:snapToGrid w:val="0"/>
              <w:spacing w:line="40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序号</w:t>
            </w:r>
          </w:p>
        </w:tc>
        <w:tc>
          <w:tcPr>
            <w:tcW w:w="2510" w:type="dxa"/>
            <w:tcBorders>
              <w:top w:val="single" w:color="auto" w:sz="4" w:space="0"/>
              <w:left w:val="single" w:color="auto" w:sz="4" w:space="0"/>
              <w:bottom w:val="single" w:color="auto" w:sz="4" w:space="0"/>
              <w:right w:val="single" w:color="auto" w:sz="4" w:space="0"/>
            </w:tcBorders>
            <w:noWrap w:val="0"/>
            <w:vAlign w:val="center"/>
          </w:tcPr>
          <w:p w14:paraId="5B0C9EF4">
            <w:pPr>
              <w:snapToGrid w:val="0"/>
              <w:spacing w:line="40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项目名称</w:t>
            </w:r>
          </w:p>
        </w:tc>
        <w:tc>
          <w:tcPr>
            <w:tcW w:w="927" w:type="dxa"/>
            <w:tcBorders>
              <w:top w:val="single" w:color="auto" w:sz="4" w:space="0"/>
              <w:left w:val="single" w:color="auto" w:sz="4" w:space="0"/>
              <w:bottom w:val="single" w:color="auto" w:sz="4" w:space="0"/>
              <w:right w:val="single" w:color="auto" w:sz="4" w:space="0"/>
            </w:tcBorders>
            <w:noWrap w:val="0"/>
            <w:vAlign w:val="center"/>
          </w:tcPr>
          <w:p w14:paraId="19010345">
            <w:pPr>
              <w:snapToGrid w:val="0"/>
              <w:spacing w:line="40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数量</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6DDE024D">
            <w:pPr>
              <w:snapToGrid w:val="0"/>
              <w:spacing w:line="40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单位</w:t>
            </w:r>
          </w:p>
        </w:tc>
        <w:tc>
          <w:tcPr>
            <w:tcW w:w="1514" w:type="dxa"/>
            <w:tcBorders>
              <w:top w:val="single" w:color="auto" w:sz="4" w:space="0"/>
              <w:left w:val="single" w:color="auto" w:sz="4" w:space="0"/>
              <w:bottom w:val="single" w:color="auto" w:sz="4" w:space="0"/>
              <w:right w:val="single" w:color="auto" w:sz="4" w:space="0"/>
            </w:tcBorders>
            <w:noWrap w:val="0"/>
            <w:vAlign w:val="center"/>
          </w:tcPr>
          <w:p w14:paraId="4FEB8629">
            <w:pPr>
              <w:snapToGrid w:val="0"/>
              <w:spacing w:line="40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报价（元）</w:t>
            </w:r>
          </w:p>
        </w:tc>
        <w:tc>
          <w:tcPr>
            <w:tcW w:w="1445" w:type="dxa"/>
            <w:tcBorders>
              <w:top w:val="single" w:color="auto" w:sz="4" w:space="0"/>
              <w:left w:val="single" w:color="auto" w:sz="4" w:space="0"/>
              <w:bottom w:val="single" w:color="auto" w:sz="4" w:space="0"/>
              <w:right w:val="single" w:color="auto" w:sz="4" w:space="0"/>
            </w:tcBorders>
            <w:noWrap w:val="0"/>
            <w:vAlign w:val="center"/>
          </w:tcPr>
          <w:p w14:paraId="146A53B8">
            <w:pPr>
              <w:snapToGrid w:val="0"/>
              <w:spacing w:line="400" w:lineRule="exact"/>
              <w:ind w:firstLine="120" w:firstLineChars="50"/>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备注</w:t>
            </w:r>
          </w:p>
        </w:tc>
      </w:tr>
      <w:tr w14:paraId="26A9E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14:paraId="41302FB2">
            <w:pPr>
              <w:snapToGrid w:val="0"/>
              <w:spacing w:line="40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p>
        </w:tc>
        <w:tc>
          <w:tcPr>
            <w:tcW w:w="2510" w:type="dxa"/>
            <w:tcBorders>
              <w:top w:val="single" w:color="auto" w:sz="4" w:space="0"/>
              <w:left w:val="single" w:color="auto" w:sz="4" w:space="0"/>
              <w:bottom w:val="single" w:color="auto" w:sz="4" w:space="0"/>
              <w:right w:val="single" w:color="auto" w:sz="4" w:space="0"/>
            </w:tcBorders>
            <w:noWrap w:val="0"/>
            <w:vAlign w:val="center"/>
          </w:tcPr>
          <w:p w14:paraId="420BCDFB">
            <w:pPr>
              <w:snapToGrid w:val="0"/>
              <w:spacing w:line="400" w:lineRule="exact"/>
              <w:jc w:val="center"/>
              <w:rPr>
                <w:rFonts w:hint="eastAsia" w:ascii="方正仿宋_GBK" w:hAnsi="方正仿宋_GBK" w:eastAsia="方正仿宋_GBK" w:cs="方正仿宋_GBK"/>
                <w:color w:val="000000"/>
                <w:sz w:val="24"/>
                <w:szCs w:val="24"/>
                <w:lang w:eastAsia="zh-CN"/>
              </w:rPr>
            </w:pPr>
          </w:p>
        </w:tc>
        <w:tc>
          <w:tcPr>
            <w:tcW w:w="927" w:type="dxa"/>
            <w:tcBorders>
              <w:top w:val="single" w:color="auto" w:sz="4" w:space="0"/>
              <w:left w:val="single" w:color="auto" w:sz="4" w:space="0"/>
              <w:bottom w:val="single" w:color="auto" w:sz="4" w:space="0"/>
              <w:right w:val="single" w:color="auto" w:sz="4" w:space="0"/>
            </w:tcBorders>
            <w:noWrap w:val="0"/>
            <w:vAlign w:val="center"/>
          </w:tcPr>
          <w:p w14:paraId="045F7672">
            <w:pPr>
              <w:snapToGrid w:val="0"/>
              <w:spacing w:line="40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34CD12C8">
            <w:pPr>
              <w:snapToGrid w:val="0"/>
              <w:spacing w:line="40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项</w:t>
            </w:r>
          </w:p>
        </w:tc>
        <w:tc>
          <w:tcPr>
            <w:tcW w:w="1514" w:type="dxa"/>
            <w:tcBorders>
              <w:top w:val="single" w:color="auto" w:sz="4" w:space="0"/>
              <w:left w:val="single" w:color="auto" w:sz="4" w:space="0"/>
              <w:bottom w:val="single" w:color="auto" w:sz="4" w:space="0"/>
              <w:right w:val="single" w:color="auto" w:sz="4" w:space="0"/>
            </w:tcBorders>
            <w:noWrap w:val="0"/>
            <w:vAlign w:val="center"/>
          </w:tcPr>
          <w:p w14:paraId="54CC4729">
            <w:pPr>
              <w:snapToGrid w:val="0"/>
              <w:spacing w:line="400" w:lineRule="exact"/>
              <w:jc w:val="center"/>
              <w:rPr>
                <w:rFonts w:hint="eastAsia" w:ascii="方正仿宋_GBK" w:hAnsi="方正仿宋_GBK" w:eastAsia="方正仿宋_GBK" w:cs="方正仿宋_GBK"/>
                <w:color w:val="000000"/>
                <w:sz w:val="24"/>
                <w:szCs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11CD9638">
            <w:pPr>
              <w:snapToGrid w:val="0"/>
              <w:spacing w:line="400" w:lineRule="exact"/>
              <w:jc w:val="center"/>
              <w:rPr>
                <w:rFonts w:hint="eastAsia" w:ascii="方正仿宋_GBK" w:hAnsi="方正仿宋_GBK" w:eastAsia="方正仿宋_GBK" w:cs="方正仿宋_GBK"/>
                <w:color w:val="000000"/>
                <w:sz w:val="24"/>
                <w:szCs w:val="24"/>
              </w:rPr>
            </w:pPr>
          </w:p>
        </w:tc>
      </w:tr>
      <w:tr w14:paraId="1FF6E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14:paraId="5EB7A7E5">
            <w:pPr>
              <w:snapToGrid w:val="0"/>
              <w:spacing w:line="400" w:lineRule="exact"/>
              <w:jc w:val="center"/>
              <w:rPr>
                <w:rFonts w:hint="eastAsia" w:ascii="方正仿宋_GBK" w:hAnsi="方正仿宋_GBK" w:eastAsia="方正仿宋_GBK" w:cs="方正仿宋_GBK"/>
                <w:color w:val="000000"/>
                <w:sz w:val="24"/>
                <w:szCs w:val="24"/>
              </w:rPr>
            </w:pPr>
            <w:r>
              <w:rPr>
                <w:rFonts w:hint="eastAsia" w:ascii="仿宋" w:hAnsi="仿宋" w:eastAsia="仿宋" w:cs="仿宋"/>
                <w:sz w:val="24"/>
                <w:szCs w:val="24"/>
              </w:rPr>
              <w:t>合计金额</w:t>
            </w:r>
          </w:p>
        </w:tc>
        <w:tc>
          <w:tcPr>
            <w:tcW w:w="7433" w:type="dxa"/>
            <w:gridSpan w:val="5"/>
            <w:tcBorders>
              <w:top w:val="single" w:color="auto" w:sz="4" w:space="0"/>
              <w:left w:val="single" w:color="auto" w:sz="4" w:space="0"/>
              <w:bottom w:val="single" w:color="auto" w:sz="4" w:space="0"/>
              <w:right w:val="single" w:color="auto" w:sz="4" w:space="0"/>
            </w:tcBorders>
            <w:noWrap w:val="0"/>
            <w:vAlign w:val="center"/>
          </w:tcPr>
          <w:p w14:paraId="3BAF7153">
            <w:pPr>
              <w:snapToGrid w:val="0"/>
              <w:spacing w:line="400" w:lineRule="exact"/>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小写：</w:t>
            </w:r>
            <w:r>
              <w:rPr>
                <w:rFonts w:hint="eastAsia" w:ascii="方正仿宋_GBK" w:hAnsi="方正仿宋_GBK" w:eastAsia="方正仿宋_GBK" w:cs="方正仿宋_GBK"/>
                <w:color w:val="000000"/>
                <w:sz w:val="24"/>
                <w:szCs w:val="24"/>
                <w:u w:val="single"/>
                <w:lang w:val="en-US" w:eastAsia="zh-CN"/>
              </w:rPr>
              <w:t xml:space="preserve">               </w:t>
            </w:r>
            <w:r>
              <w:rPr>
                <w:rFonts w:hint="eastAsia" w:ascii="方正仿宋_GBK" w:hAnsi="方正仿宋_GBK" w:eastAsia="方正仿宋_GBK" w:cs="方正仿宋_GBK"/>
                <w:color w:val="000000"/>
                <w:sz w:val="24"/>
                <w:szCs w:val="24"/>
              </w:rPr>
              <w:t>大写：</w:t>
            </w:r>
            <w:r>
              <w:rPr>
                <w:rFonts w:hint="eastAsia" w:ascii="方正仿宋_GBK" w:hAnsi="方正仿宋_GBK" w:eastAsia="方正仿宋_GBK" w:cs="方正仿宋_GBK"/>
                <w:color w:val="000000"/>
                <w:sz w:val="24"/>
                <w:szCs w:val="24"/>
                <w:u w:val="single"/>
                <w:lang w:val="en-US" w:eastAsia="zh-CN"/>
              </w:rPr>
              <w:t xml:space="preserve">                    </w:t>
            </w:r>
          </w:p>
        </w:tc>
      </w:tr>
    </w:tbl>
    <w:p w14:paraId="33D99980">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注：1、此表打印加盖公章后在磋商现场填报，密封后递交。</w:t>
      </w:r>
    </w:p>
    <w:p w14:paraId="1CB15E86">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2、两轮（若有）以上报价的，供应商在未提高响应文件中承诺的产品及其服务质量的情况下，其最后报价不得高于对该项目之前的报价。否则，磋商小组应当对其响应文件按无效处理</w:t>
      </w:r>
      <w:bookmarkEnd w:id="26"/>
      <w:r>
        <w:rPr>
          <w:rFonts w:hint="eastAsia" w:ascii="方正仿宋_GBK" w:hAnsi="方正仿宋_GBK" w:eastAsia="方正仿宋_GBK" w:cs="方正仿宋_GBK"/>
          <w:sz w:val="28"/>
          <w:szCs w:val="28"/>
        </w:rPr>
        <w:t>。</w:t>
      </w:r>
    </w:p>
    <w:p w14:paraId="500C086C">
      <w:pPr>
        <w:rPr>
          <w:rFonts w:ascii="方正仿宋_GBK" w:hAnsi="方正仿宋_GBK" w:eastAsia="方正仿宋_GBK" w:cs="方正仿宋_GBK"/>
          <w:kern w:val="0"/>
          <w:sz w:val="28"/>
          <w:szCs w:val="28"/>
        </w:rPr>
      </w:pPr>
    </w:p>
    <w:p w14:paraId="5C5BDAB9">
      <w:pP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（加盖供应商公章）</w:t>
      </w:r>
    </w:p>
    <w:p w14:paraId="67247F0B">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kern w:val="0"/>
          <w:sz w:val="28"/>
          <w:szCs w:val="28"/>
        </w:rPr>
        <w:t>：</w:t>
      </w:r>
    </w:p>
    <w:p w14:paraId="534AE691">
      <w:pPr>
        <w:spacing w:line="560" w:lineRule="exact"/>
      </w:pPr>
      <w:r>
        <w:rPr>
          <w:rFonts w:hint="eastAsia" w:ascii="方正仿宋_GBK" w:hAnsi="方正仿宋_GBK" w:eastAsia="方正仿宋_GBK" w:cs="方正仿宋_GBK"/>
          <w:kern w:val="0"/>
          <w:sz w:val="28"/>
          <w:szCs w:val="28"/>
        </w:rPr>
        <w:t>日期：</w:t>
      </w:r>
    </w:p>
    <w:p w14:paraId="50A8F194">
      <w:pPr>
        <w:pStyle w:val="7"/>
        <w:spacing w:line="360" w:lineRule="auto"/>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特别提醒：特别提醒：磋商结束后密封提交（自行准备密封袋）。</w:t>
      </w:r>
    </w:p>
    <w:p w14:paraId="30EB9549">
      <w:pPr>
        <w:rPr>
          <w:rFonts w:ascii="方正仿宋_GBK" w:hAnsi="方正仿宋_GBK" w:eastAsia="方正仿宋_GBK" w:cs="方正仿宋_GBK"/>
          <w:sz w:val="28"/>
          <w:szCs w:val="28"/>
        </w:rPr>
        <w:sectPr>
          <w:pgSz w:w="11906" w:h="16838"/>
          <w:pgMar w:top="1440" w:right="1803" w:bottom="1440" w:left="1803" w:header="851" w:footer="992" w:gutter="0"/>
          <w:cols w:space="720" w:num="1"/>
          <w:docGrid w:type="lines" w:linePitch="312" w:charSpace="0"/>
        </w:sectPr>
      </w:pPr>
    </w:p>
    <w:p w14:paraId="7D0CD41C">
      <w:pPr>
        <w:pStyle w:val="3"/>
        <w:rPr>
          <w:rFonts w:ascii="方正仿宋_GBK" w:hAnsi="方正仿宋_GBK"/>
          <w:sz w:val="28"/>
          <w:szCs w:val="28"/>
        </w:rPr>
      </w:pPr>
      <w:bookmarkStart w:id="27" w:name="_Toc1280"/>
      <w:bookmarkStart w:id="28" w:name="_Toc16139"/>
      <w:bookmarkStart w:id="29" w:name="_Toc11347"/>
      <w:r>
        <w:rPr>
          <w:rFonts w:hint="eastAsia" w:ascii="方正仿宋_GBK" w:hAnsi="方正仿宋_GBK"/>
          <w:sz w:val="28"/>
          <w:szCs w:val="28"/>
        </w:rPr>
        <w:t>六、确定成交供应商的原则</w:t>
      </w:r>
      <w:bookmarkEnd w:id="27"/>
      <w:bookmarkEnd w:id="28"/>
      <w:bookmarkEnd w:id="29"/>
    </w:p>
    <w:p w14:paraId="504F44A9">
      <w:pPr>
        <w:widowControl/>
        <w:ind w:firstLine="420" w:firstLineChars="15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本项目采购方式为竞争性磋商采购,须按综合评分法进行评审。</w:t>
      </w:r>
    </w:p>
    <w:p w14:paraId="5B54377A">
      <w:pPr>
        <w:pStyle w:val="3"/>
        <w:spacing w:line="360" w:lineRule="auto"/>
        <w:rPr>
          <w:rFonts w:ascii="方正仿宋_GBK" w:hAnsi="方正仿宋_GBK"/>
          <w:bCs/>
          <w:kern w:val="2"/>
          <w:sz w:val="28"/>
          <w:szCs w:val="28"/>
        </w:rPr>
      </w:pPr>
      <w:bookmarkStart w:id="30" w:name="_Toc32455"/>
      <w:bookmarkStart w:id="31" w:name="_Toc4073"/>
      <w:bookmarkStart w:id="32" w:name="_Toc7528"/>
      <w:bookmarkStart w:id="33" w:name="_Toc6909"/>
      <w:bookmarkStart w:id="34" w:name="_Toc5245"/>
      <w:bookmarkStart w:id="35" w:name="_Toc11158"/>
      <w:r>
        <w:rPr>
          <w:rFonts w:hint="eastAsia" w:ascii="方正仿宋_GBK" w:hAnsi="方正仿宋_GBK"/>
          <w:bCs/>
          <w:kern w:val="2"/>
          <w:sz w:val="28"/>
          <w:szCs w:val="28"/>
        </w:rPr>
        <w:t>七、磋商程序</w:t>
      </w:r>
      <w:bookmarkEnd w:id="30"/>
      <w:bookmarkEnd w:id="31"/>
      <w:bookmarkEnd w:id="32"/>
      <w:bookmarkEnd w:id="33"/>
    </w:p>
    <w:p w14:paraId="538B1384">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1、审查磋商文件和停止评审。</w:t>
      </w:r>
    </w:p>
    <w:p w14:paraId="7AC37633">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1.1磋商小组正式评审前，应当对磋商文件进行熟悉和理解，内容主要包括磋商文件中供应商资格条件要求、采购项目技术、服务和商务要求、磋商办法和标准、政府采购政策要求以及政府采购合同主要条款等。</w:t>
      </w:r>
    </w:p>
    <w:p w14:paraId="0020333A">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1.2本磋商文件有下列情形之一的，磋商小组应当停止评审：</w:t>
      </w:r>
    </w:p>
    <w:p w14:paraId="092AC196">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（1）磋商文件的规定存在歧义、重大缺陷的；</w:t>
      </w:r>
    </w:p>
    <w:p w14:paraId="66D9F438">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（2）磋商文件明显以不合理条件对供应商实行差别待遇或者歧视待遇的；</w:t>
      </w:r>
    </w:p>
    <w:p w14:paraId="4B897FD4">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（3）采购项目属于国家规定的优先、强制采购范围，但是磋商文件未依法体现优先、强制采购相关规定的；</w:t>
      </w:r>
    </w:p>
    <w:p w14:paraId="13278DA1">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（4）采购项目属于政府采购促进中小企业发展的范围，但是磋商文件未依法体现促进中小企业发展相关规定的；</w:t>
      </w:r>
    </w:p>
    <w:p w14:paraId="2C72000D">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（5）磋商文件将供应商的资格条件列为评分因素的；</w:t>
      </w:r>
    </w:p>
    <w:p w14:paraId="7D050AAF">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（6）磋商文件载明的成交原则不合法的；</w:t>
      </w:r>
    </w:p>
    <w:p w14:paraId="5E5F6A9A">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（7）磋商文件有违反国家其他有关强制性规定的情形。</w:t>
      </w:r>
    </w:p>
    <w:p w14:paraId="425AD43F">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1.3出现本条1.2规定应当停止评审情形的，磋商小组应当向采购人书面说明情况。除本条规定的情形外，磋商小组不得以任何方式和理由停止评审。</w:t>
      </w:r>
    </w:p>
    <w:p w14:paraId="56CDC840">
      <w:pP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2、资格性审查。</w:t>
      </w:r>
    </w:p>
    <w:p w14:paraId="5989E3FB">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2.1本项目需要磋商小组进行资格性检查。</w:t>
      </w:r>
    </w:p>
    <w:p w14:paraId="61E7D0F3">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磋商小组应依据法律法规和磋商文件的规定，对响应文件是否按照规定要求提供资格性证明材料、是否属于禁止参加磋商的供应商等进行审查，以确定供应商是否具备磋商资格。</w:t>
      </w:r>
    </w:p>
    <w:p w14:paraId="68D2D5D1">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2.2资格性审查结束后，磋商小组应当出具资格性审查报告，没有通过资格审查的供应商，磋商小组应当在资格审查报告中说明原因。</w:t>
      </w:r>
    </w:p>
    <w:p w14:paraId="4416B3D0">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2.3磋商小组应依据磋商文件规定的实质性要求，对符合资格的响应文件进行有效性、完整性和响应程度审查，以确定参加磋商的供应商名单。</w:t>
      </w:r>
    </w:p>
    <w:p w14:paraId="0C20F1EB">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2.4采购代理机构宣布未通过资格性审查的供应商名单时，应当告知供应商未通过审查的原因。</w:t>
      </w:r>
    </w:p>
    <w:p w14:paraId="491576EE">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3、通过资格性审查的供应商不足3家的（本章3.1的情形除外），终止本次采购活动，并发布终止采购活动公告。</w:t>
      </w:r>
    </w:p>
    <w:p w14:paraId="62367F76">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3.1根据《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若采购过程中符合要求的供应商（社会资本）只有2家，且采购人要求继续进行的，评审委员会应当遵照相关要求进行评审。</w:t>
      </w:r>
    </w:p>
    <w:p w14:paraId="33C2C8E3">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4、磋商。</w:t>
      </w:r>
    </w:p>
    <w:p w14:paraId="4FFC2F0B">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4.1磋商小组所有成员集中与单一供应商分别进行一轮或多轮磋商，并给予所有参加磋商的供应商平等的磋商机会。磋商顺序以现场抽签的方式确定。磋商过程中，磋商小组可以根据磋商情况调整磋商轮次。</w:t>
      </w:r>
    </w:p>
    <w:p w14:paraId="73212FAA">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4.2每轮磋商开始前，磋商小组应根据磋商文件的规定，并结合各供应商的响应文件拟定磋商内容。</w:t>
      </w:r>
    </w:p>
    <w:p w14:paraId="3859749B">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4.3在磋商过程中，磋商小组可以根据磋商文件和磋商情况实质性变动磋商文件的技术、服务要求以及合同草案条款，但不得变动磋商文件中的其他内容。实质性变动的内容，须经采购人代表书面确认。</w:t>
      </w:r>
    </w:p>
    <w:p w14:paraId="735F219A">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4.4对磋商文件作出的实质性变动是磋商文件的有效组成部分，磋商小组应当及时以书面形式同时通知所有参加磋商的供应商。</w:t>
      </w:r>
    </w:p>
    <w:p w14:paraId="49CB54A4">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4.5磋商过程中，磋商文件变动的，供应商应当按照磋商文件的变动情况和磋商小组的要求重新提交响应文件，并由其供应商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14:paraId="61DA617D">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4.6磋商过程中，磋商的任何一方不得透露与磋商有关的其他供应商的技术资料、价格和其他信息。</w:t>
      </w:r>
    </w:p>
    <w:p w14:paraId="4B856EED">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4.7磋商过程中，磋商小组发现或者知晓供应商存在违法、违纪行为的，磋商小组应当将该供应商响应文件作无效处理，不允许其提交最后报价。</w:t>
      </w:r>
    </w:p>
    <w:p w14:paraId="2F612E05">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4.8磋商完成后，磋商小组应出具磋商情况记录表，磋商情况记录表需包含磋商内容、磋商意见、实质性变动内容等。</w:t>
      </w:r>
    </w:p>
    <w:p w14:paraId="025AD7B6">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5、最后报价。</w:t>
      </w:r>
    </w:p>
    <w:p w14:paraId="1AB04D23">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5.1磋商文件能够详细列明采购标的的技术、服务要求的，磋商结束后，磋商小组应当要求所有实质性响应的供应商在规定时间内提交最后报价，提交最后报价的供应商不得少于3家（本章3.1和5.2的情况除外）。或磋商文件不能详细列明采购标的的技术、服务要求，需经磋商由供应商提供最终设计方案或解决方案的，磋商结束后，磋商小组应当按照少数服从多数的原则投票推荐3家以上（本章3.1和5.2的情况除外）供应商的设计方案或者解决方案，并要求其在规定时间内提交最后报价。</w:t>
      </w:r>
    </w:p>
    <w:p w14:paraId="0741D1F6">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5.2符合</w:t>
      </w:r>
      <w:bookmarkStart w:id="36" w:name="_Toc30986"/>
      <w:r>
        <w:rPr>
          <w:rFonts w:hint="eastAsia" w:ascii="方正仿宋_GBK" w:hAnsi="方正仿宋_GBK" w:eastAsia="方正仿宋_GBK" w:cs="方正仿宋_GBK"/>
          <w:sz w:val="28"/>
          <w:szCs w:val="28"/>
        </w:rPr>
        <w:t>《政府采购竞争性磋商采购方式管理暂行办法财库》〔2014〕214号</w:t>
      </w:r>
      <w:bookmarkEnd w:id="36"/>
      <w:r>
        <w:rPr>
          <w:rFonts w:hint="eastAsia" w:ascii="方正仿宋_GBK" w:hAnsi="方正仿宋_GBK" w:eastAsia="方正仿宋_GBK" w:cs="方正仿宋_GBK"/>
          <w:sz w:val="28"/>
          <w:szCs w:val="28"/>
        </w:rPr>
        <w:t>第三条第四项情形的，提交最后报价的供应商可以为2家。</w:t>
      </w:r>
    </w:p>
    <w:p w14:paraId="3F401BBE">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5.3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14:paraId="3EE0ED70">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5.4供应商最后报价应当由供应商签字确认或者盖公章。最后报价是供应商响应文件的有效组成部分。</w:t>
      </w:r>
    </w:p>
    <w:p w14:paraId="3A424240">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5.5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33B3D8A3">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6、比较与评价。</w:t>
      </w:r>
    </w:p>
    <w:p w14:paraId="75FAC062">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由磋商小组采用综合评分法对提交最后报价的供应商的响应文件和最后报价进行综合评分，具体要求详见本章综合评分部分。</w:t>
      </w:r>
    </w:p>
    <w:p w14:paraId="217203C6">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7、推荐成交候选供应商。</w:t>
      </w:r>
    </w:p>
    <w:p w14:paraId="760648AF">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磋商小组应当根据综合评分情况，按照评审得分由高到低顺序推荐3家以上（本章3.1和5.2的情况除外）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14:paraId="29A0F629">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8、磋商小组复核。</w:t>
      </w:r>
    </w:p>
    <w:p w14:paraId="1A4EB755">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磋商小组评分汇总结束后，磋商小组应当进行评审复核，对拟推荐为成交候选供应商的、报价最低的、供应商资格审查未通过的、供应商响应文件作无效处理的重点复核。</w:t>
      </w:r>
    </w:p>
    <w:p w14:paraId="6A65D7B9">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9、采购组织单位现场复核评审结果。</w:t>
      </w:r>
    </w:p>
    <w:p w14:paraId="3B879BF2">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9.1评审结果汇总完成后，磋商小组拟出具磋商评审报告前，采购人/采购代理机构应当组织2名以上的本单位工作人员，在采购现场监督人员的监督之下，依据有关的法律制度和磋商文件对评审结果进行复核，出具复核报告，存在下列情形之一的，采购人/采购代理机构应当根据情况书面建议磋商小组现场修改评审结果：</w:t>
      </w:r>
    </w:p>
    <w:p w14:paraId="2BD2AB2A">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（1）资格性审查认定错误的；</w:t>
      </w:r>
    </w:p>
    <w:p w14:paraId="698660AE">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（2）分值汇总计算错误的；</w:t>
      </w:r>
    </w:p>
    <w:p w14:paraId="0C1D1DFA">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（3）分项评分超出评分标准范围的；</w:t>
      </w:r>
    </w:p>
    <w:p w14:paraId="68FCCA2F">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（4）客观评分不一致的。</w:t>
      </w:r>
    </w:p>
    <w:p w14:paraId="31CC7366">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存在本条上述情形的，由磋商小组自主决定是否采纳采购人/采购代理机构的书面建议，并承担独立评审责任。磋商小组采纳采购人/采购代理机构书面建议的，应当按照规定现场修改评审结果或者重新评审，并在磋商报告中详细记载有关事宜；不采纳采购人/采购代理机构书面建议的，应当书面说明理由。采购人/采购代理机构书面建议未被磋商小组采纳的，应当接照规定程序要求继续组织实施采购活动，不得擅自中止采购活动。采购人/采购代理机构认为磋商小组评审结果不合法的，应当书面报告采购项目同级财政部门。</w:t>
      </w:r>
    </w:p>
    <w:p w14:paraId="1F1BBBFD">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采购人/采购代理机构复核过程中，磋商小组成员不得离开评审现场。</w:t>
      </w:r>
    </w:p>
    <w:p w14:paraId="0A96142A">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9.2有下列情形之一的，不得现场修改评审结果：</w:t>
      </w:r>
    </w:p>
    <w:p w14:paraId="068EF488">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（1）磋商小组已经出具磋商报告并且离开评审现场的；</w:t>
      </w:r>
    </w:p>
    <w:p w14:paraId="63E5169E">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（2）采购人/采购代理机构现场复核时，复核工作人员数量不足的；</w:t>
      </w:r>
    </w:p>
    <w:p w14:paraId="62B887F0">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（3）采购人/采购代理机构现场复核时，没有采购监督人员现场监督的；</w:t>
      </w:r>
    </w:p>
    <w:p w14:paraId="5111F7FD">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（4）采购人/采购代理机构现场复核内容超出规定范围的；</w:t>
      </w:r>
    </w:p>
    <w:p w14:paraId="209D7E4F">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（5）采购人/采购代理机构未提供书面建议的。</w:t>
      </w:r>
    </w:p>
    <w:p w14:paraId="6D93343A">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10、编写磋商报告。</w:t>
      </w:r>
    </w:p>
    <w:p w14:paraId="420CB96E">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磋商小组推荐成交候选供应商后，应向采购人/采购代理机构出具磋商报告。磋商报告应当包括以下主要内容：</w:t>
      </w:r>
    </w:p>
    <w:p w14:paraId="507015E5">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（1）邀请供应商参加采购活动的具体方式和相关情况；</w:t>
      </w:r>
    </w:p>
    <w:p w14:paraId="7E7E94AA">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（2）响应文件开启日期和地点；</w:t>
      </w:r>
    </w:p>
    <w:p w14:paraId="29B8B556">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（3）获取磋商文件的供应商名单和磋商小组成员名单；</w:t>
      </w:r>
    </w:p>
    <w:p w14:paraId="6C2ECF04">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（4）评审情况记录和说明，包括对供应商的资格审查情况、供应商响应文件审查情况、磋商情况、报价情况等；</w:t>
      </w:r>
    </w:p>
    <w:p w14:paraId="4EAE1BDC">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（5）提出的成交候选供应商的排序名单及理由。</w:t>
      </w:r>
    </w:p>
    <w:p w14:paraId="4953C9E4">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磋商报告应当由磋商小组全体人员签字认可。磋商小组成 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14:paraId="3AB0191C">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11、磋商异议处理规则。</w:t>
      </w:r>
    </w:p>
    <w:p w14:paraId="3E53ED8F">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14:paraId="450C40B8">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12、供应商澄清、说明</w:t>
      </w:r>
    </w:p>
    <w:p w14:paraId="3E8919A1">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7EF5987">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12.2磋商小组要求供应商澄清、说明或者更正响应文件应当以书面形式作出。供应商的澄清、说明或者更正应当由供应商代表签字或者加盖公章。</w:t>
      </w:r>
    </w:p>
    <w:p w14:paraId="0A43824B">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13、终止磋商采购活动。</w:t>
      </w:r>
    </w:p>
    <w:p w14:paraId="72F317EE">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出现下列情形之一的，采购人或者采购代理机构应当终止竞争性磋商采购活动，发布项目终止公告并说明原因，重新开展采购活动：</w:t>
      </w:r>
    </w:p>
    <w:p w14:paraId="7447B475">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（1）因情况变化，不再符合规定的竞争性磋商采购方式适用情形的；</w:t>
      </w:r>
    </w:p>
    <w:p w14:paraId="01D0EB91">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（2）出现影响采购公正的违法、违规行为的；</w:t>
      </w:r>
    </w:p>
    <w:p w14:paraId="0373483B">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（3）除本章3.1和5.2的情况外，在采购过程中符合要求的供应商或者报价未超过采购预算的供应商不足3家的。</w:t>
      </w:r>
    </w:p>
    <w:p w14:paraId="1AC409E9">
      <w:pPr>
        <w:pStyle w:val="3"/>
        <w:spacing w:line="360" w:lineRule="auto"/>
        <w:rPr>
          <w:rFonts w:ascii="方正仿宋_GBK" w:hAnsi="方正仿宋_GBK"/>
          <w:bCs/>
          <w:kern w:val="2"/>
          <w:sz w:val="28"/>
          <w:szCs w:val="28"/>
        </w:rPr>
      </w:pPr>
      <w:bookmarkStart w:id="37" w:name="_Toc10206"/>
      <w:r>
        <w:rPr>
          <w:rFonts w:hint="eastAsia" w:ascii="方正仿宋_GBK" w:hAnsi="方正仿宋_GBK"/>
          <w:bCs/>
          <w:kern w:val="2"/>
          <w:sz w:val="28"/>
          <w:szCs w:val="28"/>
        </w:rPr>
        <w:t>八、综合评分</w:t>
      </w:r>
      <w:bookmarkEnd w:id="37"/>
    </w:p>
    <w:p w14:paraId="10F8C6D8">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1、本项目采用综合评分法，评分因素详见综合评分明细表。</w:t>
      </w:r>
    </w:p>
    <w:p w14:paraId="7694058F">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评审时，磋商小组各成员据自身专业情况对每个有效投标供应商的响应文件进行独立评分，加权汇总每项评分因素的得分，得出每个有效投标供应商的总分。技术类评分因素由技术方面评审委员会成员独立评分。经济类评分因素由经济方面评审委员会成员独立评分。政策合同类的评分因素由法律方面评审委员会成员独立评分。采购人代表原则上对技术类评分因素独立评分。价格和其他不能明确区分的评分因素由评审委员会成员共同评分。</w:t>
      </w:r>
    </w:p>
    <w:p w14:paraId="4B70EB0D">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3、综合评分明细表</w:t>
      </w:r>
    </w:p>
    <w:p w14:paraId="2C68A36D">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3.1综合评分明细表的制定以科学合理、降低评委会自由裁量权为原则。</w:t>
      </w:r>
    </w:p>
    <w:p w14:paraId="03BC83F9">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3.2综合评分明细表</w:t>
      </w:r>
    </w:p>
    <w:tbl>
      <w:tblPr>
        <w:tblStyle w:val="30"/>
        <w:tblW w:w="8991" w:type="dxa"/>
        <w:tblInd w:w="93" w:type="dxa"/>
        <w:tblLayout w:type="fixed"/>
        <w:tblCellMar>
          <w:top w:w="0" w:type="dxa"/>
          <w:left w:w="108" w:type="dxa"/>
          <w:bottom w:w="0" w:type="dxa"/>
          <w:right w:w="108" w:type="dxa"/>
        </w:tblCellMar>
      </w:tblPr>
      <w:tblGrid>
        <w:gridCol w:w="675"/>
        <w:gridCol w:w="1081"/>
        <w:gridCol w:w="655"/>
        <w:gridCol w:w="5794"/>
        <w:gridCol w:w="786"/>
      </w:tblGrid>
      <w:tr w14:paraId="19176515">
        <w:tblPrEx>
          <w:tblCellMar>
            <w:top w:w="0" w:type="dxa"/>
            <w:left w:w="108" w:type="dxa"/>
            <w:bottom w:w="0" w:type="dxa"/>
            <w:right w:w="108" w:type="dxa"/>
          </w:tblCellMar>
        </w:tblPrEx>
        <w:trPr>
          <w:trHeight w:val="9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3BFCBF34">
            <w:pPr>
              <w:widowControl/>
              <w:jc w:val="center"/>
              <w:textAlignment w:val="center"/>
              <w:rPr>
                <w:rFonts w:hint="eastAsia" w:ascii="仿宋" w:hAnsi="仿宋" w:eastAsia="仿宋" w:cs="仿宋"/>
                <w:color w:val="auto"/>
                <w:lang w:eastAsia="zh-CN"/>
              </w:rPr>
            </w:pPr>
            <w:r>
              <w:rPr>
                <w:rFonts w:hint="eastAsia" w:ascii="仿宋" w:hAnsi="仿宋" w:eastAsia="仿宋" w:cs="仿宋"/>
                <w:color w:val="auto"/>
                <w:lang w:eastAsia="zh-CN"/>
              </w:rPr>
              <w:t>序号</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06E51010">
            <w:pPr>
              <w:widowControl/>
              <w:jc w:val="center"/>
              <w:textAlignment w:val="center"/>
              <w:rPr>
                <w:rFonts w:hint="eastAsia" w:ascii="仿宋" w:hAnsi="仿宋" w:eastAsia="仿宋" w:cs="仿宋"/>
                <w:color w:val="auto"/>
                <w:lang w:eastAsia="zh-CN"/>
              </w:rPr>
            </w:pPr>
            <w:r>
              <w:rPr>
                <w:rFonts w:hint="eastAsia" w:ascii="仿宋" w:hAnsi="仿宋" w:eastAsia="仿宋" w:cs="仿宋"/>
                <w:color w:val="auto"/>
                <w:lang w:eastAsia="zh-CN"/>
              </w:rPr>
              <w:t>评审因素及权重</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0DF35649">
            <w:pPr>
              <w:widowControl/>
              <w:jc w:val="center"/>
              <w:textAlignment w:val="center"/>
              <w:rPr>
                <w:rFonts w:hint="eastAsia" w:ascii="仿宋" w:hAnsi="仿宋" w:eastAsia="仿宋" w:cs="仿宋"/>
                <w:color w:val="auto"/>
                <w:lang w:eastAsia="zh-CN"/>
              </w:rPr>
            </w:pPr>
            <w:r>
              <w:rPr>
                <w:rFonts w:hint="eastAsia" w:ascii="仿宋" w:hAnsi="仿宋" w:eastAsia="仿宋" w:cs="仿宋"/>
                <w:color w:val="auto"/>
                <w:lang w:eastAsia="zh-CN"/>
              </w:rPr>
              <w:t>分值</w:t>
            </w:r>
          </w:p>
        </w:tc>
        <w:tc>
          <w:tcPr>
            <w:tcW w:w="5794" w:type="dxa"/>
            <w:tcBorders>
              <w:top w:val="single" w:color="000000" w:sz="4" w:space="0"/>
              <w:left w:val="single" w:color="000000" w:sz="4" w:space="0"/>
              <w:bottom w:val="single" w:color="000000" w:sz="4" w:space="0"/>
              <w:right w:val="single" w:color="000000" w:sz="4" w:space="0"/>
            </w:tcBorders>
            <w:noWrap w:val="0"/>
            <w:vAlign w:val="center"/>
          </w:tcPr>
          <w:p w14:paraId="0CEE860D">
            <w:pPr>
              <w:widowControl/>
              <w:jc w:val="center"/>
              <w:textAlignment w:val="center"/>
              <w:rPr>
                <w:rFonts w:hint="eastAsia" w:ascii="仿宋" w:hAnsi="仿宋" w:eastAsia="仿宋" w:cs="仿宋"/>
                <w:color w:val="auto"/>
                <w:lang w:eastAsia="zh-CN"/>
              </w:rPr>
            </w:pPr>
            <w:r>
              <w:rPr>
                <w:rFonts w:hint="eastAsia" w:ascii="仿宋" w:hAnsi="仿宋" w:eastAsia="仿宋" w:cs="仿宋"/>
                <w:color w:val="auto"/>
                <w:lang w:eastAsia="zh-CN"/>
              </w:rPr>
              <w:t>评审标准</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14:paraId="277AF488">
            <w:pPr>
              <w:widowControl/>
              <w:jc w:val="center"/>
              <w:textAlignment w:val="center"/>
              <w:rPr>
                <w:rFonts w:ascii="仿宋" w:hAnsi="仿宋" w:eastAsia="仿宋" w:cs="仿宋"/>
                <w:color w:val="auto"/>
                <w:sz w:val="22"/>
              </w:rPr>
            </w:pPr>
            <w:r>
              <w:rPr>
                <w:rFonts w:hint="eastAsia" w:ascii="仿宋" w:hAnsi="仿宋" w:eastAsia="仿宋" w:cs="仿宋"/>
                <w:color w:val="auto"/>
                <w:kern w:val="0"/>
                <w:sz w:val="22"/>
              </w:rPr>
              <w:t>备注</w:t>
            </w:r>
          </w:p>
        </w:tc>
      </w:tr>
      <w:tr w14:paraId="1C113D96">
        <w:tblPrEx>
          <w:tblCellMar>
            <w:top w:w="0" w:type="dxa"/>
            <w:left w:w="108" w:type="dxa"/>
            <w:bottom w:w="0" w:type="dxa"/>
            <w:right w:w="108" w:type="dxa"/>
          </w:tblCellMar>
        </w:tblPrEx>
        <w:trPr>
          <w:trHeight w:val="1318"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5B794CAE">
            <w:pPr>
              <w:widowControl/>
              <w:jc w:val="both"/>
              <w:textAlignment w:val="center"/>
              <w:rPr>
                <w:rFonts w:hint="eastAsia" w:ascii="仿宋" w:hAnsi="仿宋" w:eastAsia="仿宋" w:cs="仿宋"/>
                <w:color w:val="auto"/>
                <w:lang w:eastAsia="zh-CN"/>
              </w:rPr>
            </w:pPr>
            <w:r>
              <w:rPr>
                <w:rFonts w:hint="eastAsia" w:ascii="仿宋" w:hAnsi="仿宋" w:eastAsia="仿宋" w:cs="仿宋"/>
                <w:color w:val="auto"/>
                <w:lang w:eastAsia="zh-CN"/>
              </w:rPr>
              <w:t>1</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35950DC4">
            <w:pPr>
              <w:widowControl/>
              <w:jc w:val="center"/>
              <w:textAlignment w:val="center"/>
              <w:rPr>
                <w:rFonts w:hint="eastAsia" w:ascii="仿宋" w:hAnsi="仿宋" w:eastAsia="仿宋" w:cs="仿宋"/>
                <w:color w:val="auto"/>
                <w:lang w:eastAsia="zh-CN"/>
              </w:rPr>
            </w:pPr>
            <w:r>
              <w:rPr>
                <w:rFonts w:hint="default" w:ascii="仿宋" w:hAnsi="仿宋" w:eastAsia="仿宋" w:cs="仿宋"/>
                <w:color w:val="auto"/>
                <w:lang w:eastAsia="zh-CN"/>
              </w:rPr>
              <w:t>报价</w:t>
            </w:r>
            <w:r>
              <w:rPr>
                <w:rFonts w:hint="eastAsia" w:ascii="仿宋" w:hAnsi="仿宋" w:eastAsia="仿宋" w:cs="仿宋"/>
                <w:color w:val="auto"/>
                <w:lang w:eastAsia="zh-CN"/>
              </w:rPr>
              <w:t>（共同评审）</w:t>
            </w:r>
            <w:r>
              <w:rPr>
                <w:rFonts w:hint="eastAsia" w:ascii="仿宋" w:hAnsi="仿宋" w:eastAsia="仿宋" w:cs="仿宋"/>
                <w:color w:val="auto"/>
                <w:lang w:val="en-US" w:eastAsia="zh-CN"/>
              </w:rPr>
              <w:t>10</w:t>
            </w:r>
            <w:r>
              <w:rPr>
                <w:rFonts w:hint="eastAsia" w:ascii="仿宋" w:hAnsi="仿宋" w:eastAsia="仿宋" w:cs="仿宋"/>
                <w:color w:val="auto"/>
                <w:lang w:eastAsia="zh-CN"/>
              </w:rPr>
              <w:t>%</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309109C5">
            <w:pPr>
              <w:widowControl/>
              <w:jc w:val="center"/>
              <w:textAlignment w:val="center"/>
              <w:rPr>
                <w:rFonts w:hint="eastAsia" w:ascii="仿宋" w:hAnsi="仿宋" w:eastAsia="仿宋" w:cs="仿宋"/>
                <w:color w:val="auto"/>
                <w:lang w:eastAsia="zh-CN"/>
              </w:rPr>
            </w:pPr>
            <w:r>
              <w:rPr>
                <w:rFonts w:hint="eastAsia" w:ascii="仿宋" w:hAnsi="仿宋" w:eastAsia="仿宋" w:cs="仿宋"/>
                <w:color w:val="auto"/>
                <w:lang w:val="en-US" w:eastAsia="zh-CN"/>
              </w:rPr>
              <w:t>10</w:t>
            </w:r>
            <w:r>
              <w:rPr>
                <w:rFonts w:hint="eastAsia" w:ascii="仿宋" w:hAnsi="仿宋" w:eastAsia="仿宋" w:cs="仿宋"/>
                <w:color w:val="auto"/>
                <w:lang w:eastAsia="zh-CN"/>
              </w:rPr>
              <w:t>分</w:t>
            </w:r>
          </w:p>
        </w:tc>
        <w:tc>
          <w:tcPr>
            <w:tcW w:w="5794" w:type="dxa"/>
            <w:tcBorders>
              <w:top w:val="single" w:color="000000" w:sz="4" w:space="0"/>
              <w:left w:val="single" w:color="000000" w:sz="4" w:space="0"/>
              <w:bottom w:val="single" w:color="000000" w:sz="4" w:space="0"/>
              <w:right w:val="single" w:color="000000" w:sz="4" w:space="0"/>
            </w:tcBorders>
            <w:noWrap w:val="0"/>
            <w:vAlign w:val="center"/>
          </w:tcPr>
          <w:p w14:paraId="730B467F">
            <w:pPr>
              <w:pStyle w:val="7"/>
              <w:spacing w:line="288" w:lineRule="auto"/>
              <w:rPr>
                <w:rFonts w:hint="eastAsia" w:ascii="宋体" w:hAnsi="宋体" w:eastAsia="宋体" w:cs="宋体"/>
                <w:color w:val="auto"/>
                <w:kern w:val="2"/>
                <w:sz w:val="22"/>
                <w:szCs w:val="22"/>
                <w:highlight w:val="none"/>
                <w:lang w:val="en-US" w:eastAsia="zh-CN" w:bidi="ar-SA"/>
              </w:rPr>
            </w:pPr>
            <w:r>
              <w:rPr>
                <w:rFonts w:hint="eastAsia" w:ascii="仿宋" w:hAnsi="仿宋" w:eastAsia="仿宋" w:cs="仿宋"/>
                <w:color w:val="auto"/>
                <w:kern w:val="2"/>
                <w:sz w:val="21"/>
                <w:szCs w:val="22"/>
                <w:highlight w:val="none"/>
                <w:lang w:val="en-US" w:eastAsia="zh-CN" w:bidi="ar-SA"/>
              </w:rPr>
              <w:t>满足磋商文件要求且最后报价最低的供应商的价格为投标基准价，其价格分为满分。其他供应商的价格分统一按照下列公式计算：投标有效报价的最低价作为评标基准价，投标报价得分=(评标基准价÷投标报价)×10</w:t>
            </w:r>
            <w:r>
              <w:rPr>
                <w:rFonts w:hint="eastAsia" w:ascii="方正仿宋_GBK" w:hAnsi="方正仿宋_GBK" w:eastAsia="方正仿宋_GBK" w:cs="方正仿宋_GBK"/>
                <w:color w:val="auto"/>
                <w:sz w:val="22"/>
                <w:szCs w:val="22"/>
                <w:highlight w:val="none"/>
              </w:rPr>
              <w:t>。</w:t>
            </w:r>
            <w:r>
              <w:rPr>
                <w:rFonts w:hint="eastAsia" w:ascii="仿宋" w:hAnsi="仿宋" w:eastAsia="仿宋" w:cs="仿宋"/>
                <w:color w:val="auto"/>
                <w:sz w:val="22"/>
                <w:highlight w:val="none"/>
                <w:lang w:eastAsia="zh-CN"/>
              </w:rPr>
              <w:t>资质不合格，不参与评分。</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14:paraId="3FEBF0BF">
            <w:pPr>
              <w:jc w:val="left"/>
              <w:rPr>
                <w:rFonts w:hint="eastAsia" w:ascii="仿宋" w:hAnsi="仿宋" w:eastAsia="仿宋" w:cs="仿宋"/>
                <w:color w:val="auto"/>
                <w:sz w:val="22"/>
                <w:lang w:eastAsia="zh-CN"/>
              </w:rPr>
            </w:pPr>
          </w:p>
        </w:tc>
      </w:tr>
      <w:tr w14:paraId="527E0F8A">
        <w:tblPrEx>
          <w:tblCellMar>
            <w:top w:w="0" w:type="dxa"/>
            <w:left w:w="108" w:type="dxa"/>
            <w:bottom w:w="0" w:type="dxa"/>
            <w:right w:w="108" w:type="dxa"/>
          </w:tblCellMar>
        </w:tblPrEx>
        <w:trPr>
          <w:trHeight w:val="145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0C24B3EF">
            <w:pPr>
              <w:widowControl/>
              <w:jc w:val="center"/>
              <w:textAlignment w:val="center"/>
              <w:rPr>
                <w:rFonts w:hint="eastAsia" w:ascii="仿宋" w:hAnsi="仿宋" w:eastAsia="仿宋" w:cs="仿宋"/>
                <w:color w:val="auto"/>
                <w:lang w:eastAsia="zh-CN"/>
              </w:rPr>
            </w:pPr>
            <w:r>
              <w:rPr>
                <w:rFonts w:hint="eastAsia" w:ascii="仿宋" w:hAnsi="仿宋" w:eastAsia="仿宋" w:cs="仿宋"/>
                <w:color w:val="auto"/>
                <w:lang w:eastAsia="zh-CN"/>
              </w:rPr>
              <w:t>2</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700F7CC5">
            <w:pPr>
              <w:widowControl/>
              <w:jc w:val="center"/>
              <w:textAlignment w:val="center"/>
              <w:rPr>
                <w:rFonts w:hint="eastAsia" w:ascii="仿宋" w:hAnsi="仿宋" w:eastAsia="仿宋" w:cs="仿宋"/>
                <w:color w:val="auto"/>
                <w:lang w:eastAsia="zh-CN"/>
              </w:rPr>
            </w:pPr>
            <w:r>
              <w:rPr>
                <w:rFonts w:hint="eastAsia" w:ascii="仿宋" w:hAnsi="仿宋" w:eastAsia="仿宋" w:cs="仿宋"/>
                <w:color w:val="auto"/>
                <w:lang w:eastAsia="zh-CN"/>
              </w:rPr>
              <w:t>服务方案（共同评审）</w:t>
            </w:r>
            <w:r>
              <w:rPr>
                <w:rFonts w:hint="eastAsia" w:ascii="仿宋" w:hAnsi="仿宋" w:eastAsia="仿宋" w:cs="仿宋"/>
                <w:color w:val="auto"/>
                <w:lang w:val="en-US" w:eastAsia="zh-CN"/>
              </w:rPr>
              <w:t>20</w:t>
            </w:r>
            <w:r>
              <w:rPr>
                <w:rFonts w:hint="eastAsia" w:ascii="仿宋" w:hAnsi="仿宋" w:eastAsia="仿宋" w:cs="仿宋"/>
                <w:color w:val="auto"/>
                <w:lang w:eastAsia="zh-CN"/>
              </w:rPr>
              <w:t>%</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354B8F97">
            <w:pPr>
              <w:widowControl/>
              <w:jc w:val="center"/>
              <w:textAlignment w:val="center"/>
              <w:rPr>
                <w:rFonts w:hint="eastAsia" w:ascii="仿宋" w:hAnsi="仿宋" w:eastAsia="仿宋" w:cs="仿宋"/>
                <w:color w:val="auto"/>
                <w:lang w:eastAsia="zh-CN"/>
              </w:rPr>
            </w:pPr>
            <w:r>
              <w:rPr>
                <w:rFonts w:hint="eastAsia" w:ascii="仿宋" w:hAnsi="仿宋" w:eastAsia="仿宋" w:cs="仿宋"/>
                <w:color w:val="auto"/>
                <w:lang w:val="en-US" w:eastAsia="zh-CN"/>
              </w:rPr>
              <w:t>20</w:t>
            </w:r>
            <w:r>
              <w:rPr>
                <w:rFonts w:hint="eastAsia" w:ascii="仿宋" w:hAnsi="仿宋" w:eastAsia="仿宋" w:cs="仿宋"/>
                <w:color w:val="auto"/>
                <w:lang w:eastAsia="zh-CN"/>
              </w:rPr>
              <w:t>分</w:t>
            </w:r>
          </w:p>
        </w:tc>
        <w:tc>
          <w:tcPr>
            <w:tcW w:w="5794" w:type="dxa"/>
            <w:tcBorders>
              <w:top w:val="single" w:color="000000" w:sz="4" w:space="0"/>
              <w:left w:val="single" w:color="000000" w:sz="4" w:space="0"/>
              <w:bottom w:val="single" w:color="000000" w:sz="4" w:space="0"/>
              <w:right w:val="single" w:color="000000" w:sz="4" w:space="0"/>
            </w:tcBorders>
            <w:noWrap w:val="0"/>
            <w:vAlign w:val="center"/>
          </w:tcPr>
          <w:p w14:paraId="73C98516">
            <w:pPr>
              <w:widowControl/>
              <w:jc w:val="left"/>
              <w:textAlignment w:val="center"/>
              <w:rPr>
                <w:rFonts w:hint="eastAsia" w:ascii="仿宋" w:hAnsi="仿宋" w:eastAsia="仿宋" w:cs="仿宋"/>
                <w:color w:val="auto"/>
                <w:lang w:eastAsia="zh-CN"/>
              </w:rPr>
            </w:pPr>
            <w:r>
              <w:rPr>
                <w:rFonts w:hint="eastAsia" w:ascii="仿宋" w:hAnsi="仿宋" w:eastAsia="仿宋" w:cs="仿宋"/>
                <w:color w:val="auto"/>
                <w:lang w:eastAsia="zh-CN"/>
              </w:rPr>
              <w:t>针对本项目提供的服务方案进行评审，包含（1）供应商基本情况；（2）人员配置</w:t>
            </w:r>
            <w:r>
              <w:rPr>
                <w:rFonts w:hint="eastAsia" w:ascii="仿宋" w:hAnsi="仿宋" w:eastAsia="仿宋" w:cs="仿宋"/>
                <w:color w:val="auto"/>
                <w:lang w:val="en-US" w:eastAsia="zh-CN"/>
              </w:rPr>
              <w:t>(供应商管理、技术、服务人员情况</w:t>
            </w:r>
            <w:r>
              <w:rPr>
                <w:rFonts w:hint="eastAsia" w:ascii="仿宋" w:hAnsi="仿宋" w:eastAsia="仿宋" w:cs="仿宋"/>
                <w:color w:val="auto"/>
                <w:lang w:eastAsia="zh-CN"/>
              </w:rPr>
              <w:t>；（3）服务质量保障方案；（</w:t>
            </w:r>
            <w:r>
              <w:rPr>
                <w:rFonts w:hint="eastAsia" w:ascii="仿宋" w:hAnsi="仿宋" w:eastAsia="仿宋" w:cs="仿宋"/>
                <w:color w:val="auto"/>
                <w:lang w:val="en-US" w:eastAsia="zh-CN"/>
              </w:rPr>
              <w:t>4</w:t>
            </w:r>
            <w:r>
              <w:rPr>
                <w:rFonts w:hint="eastAsia" w:ascii="仿宋" w:hAnsi="仿宋" w:eastAsia="仿宋" w:cs="仿宋"/>
                <w:color w:val="auto"/>
                <w:lang w:eastAsia="zh-CN"/>
              </w:rPr>
              <w:t>）维修维护及应急处理预案；（</w:t>
            </w:r>
            <w:r>
              <w:rPr>
                <w:rFonts w:hint="eastAsia" w:ascii="仿宋" w:hAnsi="仿宋" w:eastAsia="仿宋" w:cs="仿宋"/>
                <w:color w:val="auto"/>
                <w:lang w:val="en-US" w:eastAsia="zh-CN"/>
              </w:rPr>
              <w:t>5</w:t>
            </w:r>
            <w:r>
              <w:rPr>
                <w:rFonts w:hint="eastAsia" w:ascii="仿宋" w:hAnsi="仿宋" w:eastAsia="仿宋" w:cs="仿宋"/>
                <w:color w:val="auto"/>
                <w:lang w:eastAsia="zh-CN"/>
              </w:rPr>
              <w:t>）消防管理措施等进行评审，内容齐全并满足项目要求的得</w:t>
            </w:r>
            <w:r>
              <w:rPr>
                <w:rFonts w:hint="eastAsia" w:ascii="仿宋" w:hAnsi="仿宋" w:eastAsia="仿宋" w:cs="仿宋"/>
                <w:color w:val="auto"/>
                <w:lang w:val="en-US" w:eastAsia="zh-CN"/>
              </w:rPr>
              <w:t>20</w:t>
            </w:r>
            <w:r>
              <w:rPr>
                <w:rFonts w:hint="eastAsia" w:ascii="仿宋" w:hAnsi="仿宋" w:eastAsia="仿宋" w:cs="仿宋"/>
                <w:color w:val="auto"/>
                <w:lang w:eastAsia="zh-CN"/>
              </w:rPr>
              <w:t>分，每有一项内容缺失扣</w:t>
            </w:r>
            <w:r>
              <w:rPr>
                <w:rFonts w:hint="eastAsia" w:ascii="仿宋" w:hAnsi="仿宋" w:eastAsia="仿宋" w:cs="仿宋"/>
                <w:color w:val="auto"/>
                <w:lang w:val="en-US" w:eastAsia="zh-CN"/>
              </w:rPr>
              <w:t>4</w:t>
            </w:r>
            <w:r>
              <w:rPr>
                <w:rFonts w:hint="eastAsia" w:ascii="仿宋" w:hAnsi="仿宋" w:eastAsia="仿宋" w:cs="仿宋"/>
                <w:color w:val="auto"/>
                <w:lang w:eastAsia="zh-CN"/>
              </w:rPr>
              <w:t>分，每项中每具有一处缺陷的扣</w:t>
            </w:r>
            <w:r>
              <w:rPr>
                <w:rFonts w:hint="eastAsia" w:ascii="仿宋" w:hAnsi="仿宋" w:eastAsia="仿宋" w:cs="仿宋"/>
                <w:color w:val="auto"/>
                <w:lang w:val="en-US" w:eastAsia="zh-CN"/>
              </w:rPr>
              <w:t>1</w:t>
            </w:r>
            <w:r>
              <w:rPr>
                <w:rFonts w:hint="eastAsia" w:ascii="仿宋" w:hAnsi="仿宋" w:eastAsia="仿宋" w:cs="仿宋"/>
                <w:color w:val="auto"/>
                <w:lang w:eastAsia="zh-CN"/>
              </w:rPr>
              <w:t>分（缺陷是指：存在不适用项目实际情况的情形、凭空编造、内容前后不一致、前后逻辑错误、涉及的规范及标准错误等），扣完为止。</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14:paraId="04CF98E3">
            <w:pPr>
              <w:jc w:val="left"/>
              <w:rPr>
                <w:rFonts w:ascii="仿宋" w:hAnsi="仿宋" w:eastAsia="仿宋" w:cs="仿宋"/>
                <w:color w:val="auto"/>
                <w:sz w:val="22"/>
              </w:rPr>
            </w:pPr>
          </w:p>
        </w:tc>
      </w:tr>
      <w:tr w14:paraId="44BD6395">
        <w:tblPrEx>
          <w:tblCellMar>
            <w:top w:w="0" w:type="dxa"/>
            <w:left w:w="108" w:type="dxa"/>
            <w:bottom w:w="0" w:type="dxa"/>
            <w:right w:w="108" w:type="dxa"/>
          </w:tblCellMar>
        </w:tblPrEx>
        <w:trPr>
          <w:trHeight w:val="9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7EE6AEBB">
            <w:pPr>
              <w:widowControl/>
              <w:jc w:val="center"/>
              <w:textAlignment w:val="center"/>
              <w:rPr>
                <w:rFonts w:hint="eastAsia" w:ascii="仿宋" w:hAnsi="仿宋" w:eastAsia="仿宋" w:cs="仿宋"/>
                <w:color w:val="auto"/>
                <w:lang w:eastAsia="zh-CN"/>
              </w:rPr>
            </w:pPr>
            <w:r>
              <w:rPr>
                <w:rFonts w:hint="eastAsia" w:ascii="仿宋" w:hAnsi="仿宋" w:eastAsia="仿宋" w:cs="仿宋"/>
                <w:color w:val="auto"/>
                <w:lang w:val="en-US" w:eastAsia="zh-CN"/>
              </w:rPr>
              <w:t>3</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1258EADC">
            <w:pPr>
              <w:widowControl/>
              <w:jc w:val="center"/>
              <w:textAlignment w:val="center"/>
              <w:rPr>
                <w:rFonts w:hint="eastAsia" w:ascii="仿宋" w:hAnsi="仿宋" w:eastAsia="仿宋" w:cs="仿宋"/>
                <w:color w:val="auto"/>
                <w:lang w:eastAsia="zh-CN"/>
              </w:rPr>
            </w:pPr>
            <w:r>
              <w:rPr>
                <w:rFonts w:hint="eastAsia" w:ascii="仿宋" w:hAnsi="仿宋" w:eastAsia="仿宋" w:cs="仿宋"/>
                <w:color w:val="auto"/>
                <w:lang w:eastAsia="zh-CN"/>
              </w:rPr>
              <w:t>服务能力保障（共同评审）</w:t>
            </w:r>
            <w:r>
              <w:rPr>
                <w:rFonts w:hint="eastAsia" w:ascii="仿宋" w:hAnsi="仿宋" w:eastAsia="仿宋" w:cs="仿宋"/>
                <w:color w:val="auto"/>
                <w:lang w:val="en-US" w:eastAsia="zh-CN"/>
              </w:rPr>
              <w:t>40</w:t>
            </w:r>
            <w:r>
              <w:rPr>
                <w:rFonts w:hint="eastAsia" w:ascii="仿宋" w:hAnsi="仿宋" w:eastAsia="仿宋" w:cs="仿宋"/>
                <w:color w:val="auto"/>
                <w:lang w:eastAsia="zh-CN"/>
              </w:rPr>
              <w:t>%</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396639D1">
            <w:pPr>
              <w:widowControl/>
              <w:jc w:val="center"/>
              <w:textAlignment w:val="center"/>
              <w:rPr>
                <w:rFonts w:hint="eastAsia" w:ascii="仿宋" w:hAnsi="仿宋" w:eastAsia="仿宋" w:cs="仿宋"/>
                <w:color w:val="auto"/>
                <w:lang w:eastAsia="zh-CN"/>
              </w:rPr>
            </w:pPr>
            <w:r>
              <w:rPr>
                <w:rFonts w:hint="eastAsia" w:ascii="仿宋" w:hAnsi="仿宋" w:eastAsia="仿宋" w:cs="仿宋"/>
                <w:color w:val="auto"/>
                <w:lang w:val="en-US" w:eastAsia="zh-CN"/>
              </w:rPr>
              <w:t>40</w:t>
            </w:r>
            <w:r>
              <w:rPr>
                <w:rFonts w:hint="eastAsia" w:ascii="仿宋" w:hAnsi="仿宋" w:eastAsia="仿宋" w:cs="仿宋"/>
                <w:color w:val="auto"/>
                <w:lang w:eastAsia="zh-CN"/>
              </w:rPr>
              <w:t>分</w:t>
            </w:r>
          </w:p>
        </w:tc>
        <w:tc>
          <w:tcPr>
            <w:tcW w:w="5794" w:type="dxa"/>
            <w:tcBorders>
              <w:top w:val="single" w:color="000000" w:sz="4" w:space="0"/>
              <w:left w:val="single" w:color="000000" w:sz="4" w:space="0"/>
              <w:bottom w:val="single" w:color="000000" w:sz="4" w:space="0"/>
              <w:right w:val="single" w:color="000000" w:sz="4" w:space="0"/>
            </w:tcBorders>
            <w:noWrap w:val="0"/>
            <w:vAlign w:val="center"/>
          </w:tcPr>
          <w:p w14:paraId="7508969A">
            <w:pPr>
              <w:widowControl/>
              <w:jc w:val="left"/>
              <w:textAlignment w:val="center"/>
              <w:rPr>
                <w:rFonts w:hint="eastAsia" w:ascii="仿宋" w:hAnsi="仿宋" w:eastAsia="仿宋" w:cs="仿宋"/>
                <w:color w:val="auto"/>
                <w:lang w:eastAsia="zh-CN"/>
              </w:rPr>
            </w:pPr>
            <w:r>
              <w:rPr>
                <w:rFonts w:hint="eastAsia" w:ascii="仿宋" w:hAnsi="仿宋" w:eastAsia="仿宋" w:cs="仿宋"/>
                <w:color w:val="auto"/>
                <w:lang w:eastAsia="zh-CN"/>
              </w:rPr>
              <w:t>1</w:t>
            </w:r>
            <w:r>
              <w:rPr>
                <w:rFonts w:hint="default" w:ascii="仿宋" w:hAnsi="仿宋" w:eastAsia="仿宋" w:cs="仿宋"/>
                <w:color w:val="auto"/>
                <w:lang w:eastAsia="zh-CN"/>
              </w:rPr>
              <w:t>.</w:t>
            </w:r>
            <w:r>
              <w:rPr>
                <w:rFonts w:hint="eastAsia" w:ascii="仿宋" w:hAnsi="仿宋" w:eastAsia="仿宋" w:cs="仿宋"/>
                <w:color w:val="auto"/>
                <w:lang w:eastAsia="zh-CN"/>
              </w:rPr>
              <w:t>拟投入本项目服务人员的配备、素质及维保经验得</w:t>
            </w:r>
            <w:r>
              <w:rPr>
                <w:rFonts w:hint="eastAsia" w:ascii="仿宋" w:hAnsi="仿宋" w:eastAsia="仿宋" w:cs="仿宋"/>
                <w:color w:val="auto"/>
                <w:lang w:val="en-US" w:eastAsia="zh-CN"/>
              </w:rPr>
              <w:t>5</w:t>
            </w:r>
            <w:r>
              <w:rPr>
                <w:rFonts w:hint="eastAsia" w:ascii="仿宋" w:hAnsi="仿宋" w:eastAsia="仿宋" w:cs="仿宋"/>
                <w:color w:val="auto"/>
                <w:lang w:eastAsia="zh-CN"/>
              </w:rPr>
              <w:t>分，提供持有消防部门颁发的上岗证书（证书原件）每增加1名加</w:t>
            </w:r>
            <w:r>
              <w:rPr>
                <w:rFonts w:hint="eastAsia" w:ascii="仿宋" w:hAnsi="仿宋" w:eastAsia="仿宋" w:cs="仿宋"/>
                <w:color w:val="auto"/>
                <w:lang w:val="en-US" w:eastAsia="zh-CN"/>
              </w:rPr>
              <w:t>1</w:t>
            </w:r>
            <w:r>
              <w:rPr>
                <w:rFonts w:hint="eastAsia" w:ascii="仿宋" w:hAnsi="仿宋" w:eastAsia="仿宋" w:cs="仿宋"/>
                <w:color w:val="auto"/>
                <w:lang w:eastAsia="zh-CN"/>
              </w:rPr>
              <w:t>分，本项最多得</w:t>
            </w:r>
            <w:r>
              <w:rPr>
                <w:rFonts w:hint="eastAsia" w:ascii="仿宋" w:hAnsi="仿宋" w:eastAsia="仿宋" w:cs="仿宋"/>
                <w:color w:val="auto"/>
                <w:lang w:val="en-US" w:eastAsia="zh-CN"/>
              </w:rPr>
              <w:t>10</w:t>
            </w:r>
            <w:r>
              <w:rPr>
                <w:rFonts w:hint="eastAsia" w:ascii="仿宋" w:hAnsi="仿宋" w:eastAsia="仿宋" w:cs="仿宋"/>
                <w:color w:val="auto"/>
                <w:lang w:eastAsia="zh-CN"/>
              </w:rPr>
              <w:t>分。（提供人员身份证复印件、用工合同和为其缴纳社保证明）</w:t>
            </w:r>
          </w:p>
          <w:p w14:paraId="7DD3A5B6">
            <w:pPr>
              <w:widowControl/>
              <w:jc w:val="left"/>
              <w:textAlignment w:val="center"/>
              <w:rPr>
                <w:rFonts w:hint="eastAsia" w:ascii="仿宋" w:hAnsi="仿宋" w:eastAsia="仿宋" w:cs="仿宋"/>
                <w:color w:val="auto"/>
                <w:lang w:eastAsia="zh-CN"/>
              </w:rPr>
            </w:pPr>
            <w:r>
              <w:rPr>
                <w:rFonts w:hint="eastAsia" w:ascii="仿宋" w:hAnsi="仿宋" w:eastAsia="仿宋" w:cs="仿宋"/>
                <w:color w:val="auto"/>
                <w:lang w:eastAsia="zh-CN"/>
              </w:rPr>
              <w:t>2</w:t>
            </w:r>
            <w:r>
              <w:rPr>
                <w:rFonts w:hint="default" w:ascii="仿宋" w:hAnsi="仿宋" w:eastAsia="仿宋" w:cs="仿宋"/>
                <w:color w:val="auto"/>
                <w:lang w:eastAsia="zh-CN"/>
              </w:rPr>
              <w:t>.</w:t>
            </w:r>
            <w:r>
              <w:rPr>
                <w:rFonts w:hint="eastAsia" w:ascii="仿宋" w:hAnsi="仿宋" w:eastAsia="仿宋" w:cs="仿宋"/>
                <w:color w:val="auto"/>
                <w:lang w:eastAsia="zh-CN"/>
              </w:rPr>
              <w:t>拟投入本项目的技术人员中，至少有</w:t>
            </w:r>
            <w:r>
              <w:rPr>
                <w:rFonts w:hint="eastAsia" w:ascii="仿宋" w:hAnsi="仿宋" w:eastAsia="仿宋" w:cs="仿宋"/>
                <w:color w:val="auto"/>
                <w:lang w:val="en-US" w:eastAsia="zh-CN"/>
              </w:rPr>
              <w:t>2</w:t>
            </w:r>
            <w:r>
              <w:rPr>
                <w:rFonts w:hint="eastAsia" w:ascii="仿宋" w:hAnsi="仿宋" w:eastAsia="仿宋" w:cs="仿宋"/>
                <w:color w:val="auto"/>
                <w:lang w:eastAsia="zh-CN"/>
              </w:rPr>
              <w:t>个一级消防工程师得5分，每增加1名加</w:t>
            </w:r>
            <w:r>
              <w:rPr>
                <w:rFonts w:hint="eastAsia" w:ascii="仿宋" w:hAnsi="仿宋" w:eastAsia="仿宋" w:cs="仿宋"/>
                <w:color w:val="auto"/>
                <w:lang w:val="en-US" w:eastAsia="zh-CN"/>
              </w:rPr>
              <w:t>1</w:t>
            </w:r>
            <w:r>
              <w:rPr>
                <w:rFonts w:hint="eastAsia" w:ascii="仿宋" w:hAnsi="仿宋" w:eastAsia="仿宋" w:cs="仿宋"/>
                <w:color w:val="auto"/>
                <w:lang w:eastAsia="zh-CN"/>
              </w:rPr>
              <w:t>分，本项最多得</w:t>
            </w:r>
            <w:r>
              <w:rPr>
                <w:rFonts w:hint="eastAsia" w:ascii="仿宋" w:hAnsi="仿宋" w:eastAsia="仿宋" w:cs="仿宋"/>
                <w:color w:val="auto"/>
                <w:lang w:val="en-US" w:eastAsia="zh-CN"/>
              </w:rPr>
              <w:t>7</w:t>
            </w:r>
            <w:r>
              <w:rPr>
                <w:rFonts w:hint="eastAsia" w:ascii="仿宋" w:hAnsi="仿宋" w:eastAsia="仿宋" w:cs="仿宋"/>
                <w:color w:val="auto"/>
                <w:lang w:eastAsia="zh-CN"/>
              </w:rPr>
              <w:t>分。（提供人员证书证明材料）</w:t>
            </w:r>
          </w:p>
          <w:p w14:paraId="7F027080">
            <w:pPr>
              <w:widowControl/>
              <w:jc w:val="left"/>
              <w:textAlignment w:val="center"/>
              <w:rPr>
                <w:rFonts w:hint="eastAsia" w:ascii="仿宋" w:hAnsi="仿宋" w:eastAsia="仿宋" w:cs="仿宋"/>
                <w:color w:val="auto"/>
                <w:lang w:eastAsia="zh-CN"/>
              </w:rPr>
            </w:pPr>
            <w:r>
              <w:rPr>
                <w:rFonts w:hint="eastAsia" w:ascii="仿宋" w:hAnsi="仿宋" w:eastAsia="仿宋" w:cs="仿宋"/>
                <w:color w:val="auto"/>
                <w:lang w:eastAsia="zh-CN"/>
              </w:rPr>
              <w:t>3</w:t>
            </w:r>
            <w:r>
              <w:rPr>
                <w:rFonts w:hint="default" w:ascii="仿宋" w:hAnsi="仿宋" w:eastAsia="仿宋" w:cs="仿宋"/>
                <w:color w:val="auto"/>
                <w:lang w:eastAsia="zh-CN"/>
              </w:rPr>
              <w:t>.</w:t>
            </w:r>
            <w:r>
              <w:rPr>
                <w:rFonts w:hint="eastAsia" w:ascii="仿宋" w:hAnsi="仿宋" w:eastAsia="仿宋" w:cs="仿宋"/>
                <w:color w:val="auto"/>
                <w:lang w:eastAsia="zh-CN"/>
              </w:rPr>
              <w:t>为保障消防维保有效开展工作，根据承诺消防维保服务清单内的情况进行评审。</w:t>
            </w:r>
          </w:p>
          <w:p w14:paraId="2AF561CE">
            <w:pPr>
              <w:widowControl/>
              <w:jc w:val="left"/>
              <w:textAlignment w:val="center"/>
              <w:rPr>
                <w:rFonts w:hint="eastAsia" w:ascii="仿宋" w:hAnsi="仿宋" w:eastAsia="仿宋" w:cs="仿宋"/>
                <w:color w:val="auto"/>
                <w:lang w:eastAsia="zh-CN"/>
              </w:rPr>
            </w:pPr>
            <w:r>
              <w:rPr>
                <w:rFonts w:hint="eastAsia" w:ascii="仿宋" w:hAnsi="仿宋" w:eastAsia="仿宋" w:cs="仿宋"/>
                <w:color w:val="auto"/>
                <w:lang w:eastAsia="zh-CN"/>
              </w:rPr>
              <w:t>（1）具有消防维保服务资质</w:t>
            </w:r>
            <w:r>
              <w:rPr>
                <w:rFonts w:hint="eastAsia" w:ascii="仿宋" w:hAnsi="仿宋" w:eastAsia="仿宋" w:cs="仿宋"/>
                <w:color w:val="auto"/>
                <w:lang w:val="en-US" w:eastAsia="zh-CN"/>
              </w:rPr>
              <w:t>并在社会消防技术服务信息系统和四川消防技术服务管理平台备案得8分</w:t>
            </w:r>
            <w:r>
              <w:rPr>
                <w:rFonts w:hint="eastAsia" w:ascii="仿宋" w:hAnsi="仿宋" w:eastAsia="仿宋" w:cs="仿宋"/>
                <w:color w:val="auto"/>
                <w:lang w:eastAsia="zh-CN"/>
              </w:rPr>
              <w:t>，未提供不得分；</w:t>
            </w:r>
          </w:p>
          <w:p w14:paraId="2B1F00F8">
            <w:pPr>
              <w:widowControl/>
              <w:jc w:val="left"/>
              <w:textAlignment w:val="center"/>
              <w:rPr>
                <w:rFonts w:hint="eastAsia" w:ascii="仿宋" w:hAnsi="仿宋" w:eastAsia="仿宋" w:cs="仿宋"/>
                <w:color w:val="auto"/>
                <w:lang w:eastAsia="zh-CN"/>
              </w:rPr>
            </w:pPr>
            <w:r>
              <w:rPr>
                <w:rFonts w:hint="eastAsia" w:ascii="仿宋" w:hAnsi="仿宋" w:eastAsia="仿宋" w:cs="仿宋"/>
                <w:color w:val="auto"/>
                <w:lang w:eastAsia="zh-CN"/>
              </w:rPr>
              <w:t>（2）证明近三年内未发生过因损害职工合法权益而引发劳动仲裁败诉的得</w:t>
            </w:r>
            <w:r>
              <w:rPr>
                <w:rFonts w:hint="eastAsia" w:ascii="仿宋" w:hAnsi="仿宋" w:eastAsia="仿宋" w:cs="仿宋"/>
                <w:color w:val="auto"/>
                <w:lang w:val="en-US" w:eastAsia="zh-CN"/>
              </w:rPr>
              <w:t>5</w:t>
            </w:r>
            <w:r>
              <w:rPr>
                <w:rFonts w:hint="eastAsia" w:ascii="仿宋" w:hAnsi="仿宋" w:eastAsia="仿宋" w:cs="仿宋"/>
                <w:color w:val="auto"/>
                <w:lang w:eastAsia="zh-CN"/>
              </w:rPr>
              <w:t>分，隐瞒不报，后期签订的合同无效；</w:t>
            </w:r>
          </w:p>
          <w:p w14:paraId="6D54638B">
            <w:pPr>
              <w:widowControl/>
              <w:jc w:val="left"/>
              <w:textAlignment w:val="center"/>
              <w:rPr>
                <w:rFonts w:hint="default" w:ascii="仿宋" w:hAnsi="仿宋" w:eastAsia="仿宋" w:cs="仿宋"/>
                <w:color w:val="auto"/>
                <w:lang w:eastAsia="zh-CN"/>
              </w:rPr>
            </w:pPr>
            <w:r>
              <w:rPr>
                <w:rFonts w:hint="eastAsia" w:ascii="仿宋" w:hAnsi="仿宋" w:eastAsia="仿宋" w:cs="仿宋"/>
                <w:color w:val="auto"/>
                <w:lang w:eastAsia="zh-CN"/>
              </w:rPr>
              <w:t>（</w:t>
            </w:r>
            <w:r>
              <w:rPr>
                <w:rFonts w:hint="eastAsia" w:ascii="仿宋" w:hAnsi="仿宋" w:eastAsia="仿宋" w:cs="仿宋"/>
                <w:color w:val="auto"/>
                <w:lang w:val="en-US" w:eastAsia="zh-CN"/>
              </w:rPr>
              <w:t>3</w:t>
            </w:r>
            <w:r>
              <w:rPr>
                <w:rFonts w:hint="eastAsia" w:ascii="仿宋" w:hAnsi="仿宋" w:eastAsia="仿宋" w:cs="仿宋"/>
                <w:color w:val="auto"/>
                <w:lang w:eastAsia="zh-CN"/>
              </w:rPr>
              <w:t>）消防维保</w:t>
            </w:r>
            <w:r>
              <w:rPr>
                <w:rFonts w:hint="eastAsia" w:ascii="仿宋" w:hAnsi="仿宋" w:eastAsia="仿宋" w:cs="仿宋"/>
                <w:color w:val="auto"/>
                <w:lang w:val="en-US" w:eastAsia="zh-CN"/>
              </w:rPr>
              <w:t>项目负责人</w:t>
            </w:r>
            <w:r>
              <w:rPr>
                <w:rFonts w:hint="eastAsia" w:ascii="仿宋" w:hAnsi="仿宋" w:eastAsia="仿宋" w:cs="仿宋"/>
                <w:color w:val="auto"/>
                <w:lang w:eastAsia="zh-CN"/>
              </w:rPr>
              <w:t>（消防工程师</w:t>
            </w:r>
            <w:r>
              <w:rPr>
                <w:rFonts w:hint="eastAsia" w:ascii="仿宋" w:hAnsi="仿宋" w:eastAsia="仿宋" w:cs="仿宋"/>
                <w:color w:val="auto"/>
                <w:lang w:val="en-US" w:eastAsia="zh-CN"/>
              </w:rPr>
              <w:t>持有一级注册消防工程师证+中级消防设施操作员</w:t>
            </w:r>
            <w:r>
              <w:rPr>
                <w:rFonts w:hint="eastAsia" w:ascii="仿宋" w:hAnsi="仿宋" w:eastAsia="仿宋" w:cs="仿宋"/>
                <w:color w:val="auto"/>
                <w:lang w:eastAsia="zh-CN"/>
              </w:rPr>
              <w:t>）在半年内不得随意更换的得</w:t>
            </w:r>
            <w:r>
              <w:rPr>
                <w:rFonts w:hint="eastAsia" w:ascii="仿宋" w:hAnsi="仿宋" w:eastAsia="仿宋" w:cs="仿宋"/>
                <w:color w:val="auto"/>
                <w:lang w:val="en-US" w:eastAsia="zh-CN"/>
              </w:rPr>
              <w:t>10</w:t>
            </w:r>
            <w:r>
              <w:rPr>
                <w:rFonts w:hint="eastAsia" w:ascii="仿宋" w:hAnsi="仿宋" w:eastAsia="仿宋" w:cs="仿宋"/>
                <w:color w:val="auto"/>
                <w:lang w:eastAsia="zh-CN"/>
              </w:rPr>
              <w:t>分，未说明的不得分</w:t>
            </w:r>
            <w:r>
              <w:rPr>
                <w:rFonts w:hint="default" w:ascii="仿宋" w:hAnsi="仿宋" w:eastAsia="仿宋" w:cs="仿宋"/>
                <w:color w:val="auto"/>
                <w:lang w:eastAsia="zh-CN"/>
              </w:rPr>
              <w:t>。</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14:paraId="72E6A286">
            <w:pPr>
              <w:jc w:val="left"/>
              <w:rPr>
                <w:rFonts w:ascii="仿宋" w:hAnsi="仿宋" w:eastAsia="仿宋" w:cs="仿宋"/>
                <w:color w:val="auto"/>
                <w:sz w:val="22"/>
              </w:rPr>
            </w:pPr>
          </w:p>
        </w:tc>
      </w:tr>
      <w:tr w14:paraId="76B6A9F6">
        <w:tblPrEx>
          <w:tblCellMar>
            <w:top w:w="0" w:type="dxa"/>
            <w:left w:w="108" w:type="dxa"/>
            <w:bottom w:w="0" w:type="dxa"/>
            <w:right w:w="108" w:type="dxa"/>
          </w:tblCellMar>
        </w:tblPrEx>
        <w:trPr>
          <w:trHeight w:val="2294"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5BB55252">
            <w:pPr>
              <w:widowControl/>
              <w:jc w:val="center"/>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4</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40A0779C">
            <w:pPr>
              <w:widowControl/>
              <w:jc w:val="center"/>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业绩（共同评审）</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lang w:eastAsia="zh-CN"/>
              </w:rPr>
              <w:t>%</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3A07B343">
            <w:pPr>
              <w:widowControl/>
              <w:jc w:val="center"/>
              <w:textAlignment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6分</w:t>
            </w:r>
          </w:p>
        </w:tc>
        <w:tc>
          <w:tcPr>
            <w:tcW w:w="5794" w:type="dxa"/>
            <w:tcBorders>
              <w:top w:val="single" w:color="000000" w:sz="4" w:space="0"/>
              <w:left w:val="single" w:color="000000" w:sz="4" w:space="0"/>
              <w:bottom w:val="single" w:color="000000" w:sz="4" w:space="0"/>
              <w:right w:val="single" w:color="000000" w:sz="4" w:space="0"/>
            </w:tcBorders>
            <w:noWrap w:val="0"/>
            <w:vAlign w:val="center"/>
          </w:tcPr>
          <w:p w14:paraId="77983D3D">
            <w:pPr>
              <w:widowControl/>
              <w:jc w:val="left"/>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lang w:val="en-US" w:eastAsia="zh-CN"/>
              </w:rPr>
              <w:t>近三年</w:t>
            </w:r>
            <w:r>
              <w:rPr>
                <w:rFonts w:hint="eastAsia" w:ascii="仿宋" w:hAnsi="仿宋" w:eastAsia="仿宋" w:cs="仿宋"/>
                <w:color w:val="auto"/>
                <w:highlight w:val="none"/>
                <w:lang w:eastAsia="zh-CN"/>
              </w:rPr>
              <w:t>具有类似消防维护保养服务业绩的，每提供一个得</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eastAsia="zh-CN"/>
              </w:rPr>
              <w:t>分，本项最多得</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lang w:eastAsia="zh-CN"/>
              </w:rPr>
              <w:t>分。</w:t>
            </w:r>
          </w:p>
          <w:p w14:paraId="73767C1D">
            <w:pPr>
              <w:widowControl/>
              <w:jc w:val="left"/>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注：提供中标/成交通知书或合同证明材料。</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14:paraId="1A0B22BC">
            <w:pPr>
              <w:jc w:val="left"/>
              <w:rPr>
                <w:rFonts w:ascii="仿宋" w:hAnsi="仿宋" w:eastAsia="仿宋" w:cs="仿宋"/>
                <w:color w:val="auto"/>
                <w:sz w:val="22"/>
              </w:rPr>
            </w:pPr>
          </w:p>
        </w:tc>
      </w:tr>
      <w:tr w14:paraId="44756584">
        <w:tblPrEx>
          <w:tblCellMar>
            <w:top w:w="0" w:type="dxa"/>
            <w:left w:w="108" w:type="dxa"/>
            <w:bottom w:w="0" w:type="dxa"/>
            <w:right w:w="108" w:type="dxa"/>
          </w:tblCellMar>
        </w:tblPrEx>
        <w:trPr>
          <w:trHeight w:val="3053"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3266E067">
            <w:pPr>
              <w:widowControl/>
              <w:jc w:val="center"/>
              <w:textAlignment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78391775">
            <w:pPr>
              <w:widowControl/>
              <w:jc w:val="center"/>
              <w:textAlignment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售后服务保障方案</w:t>
            </w:r>
            <w:r>
              <w:rPr>
                <w:rFonts w:hint="eastAsia" w:ascii="仿宋" w:hAnsi="仿宋" w:eastAsia="仿宋" w:cs="仿宋"/>
                <w:color w:val="auto"/>
                <w:highlight w:val="none"/>
                <w:lang w:eastAsia="zh-CN"/>
              </w:rPr>
              <w:t>（共同评审）</w:t>
            </w:r>
            <w:r>
              <w:rPr>
                <w:rFonts w:hint="eastAsia" w:ascii="仿宋" w:hAnsi="仿宋" w:eastAsia="仿宋" w:cs="仿宋"/>
                <w:color w:val="auto"/>
                <w:highlight w:val="none"/>
                <w:lang w:val="en-US" w:eastAsia="zh-CN"/>
              </w:rPr>
              <w:t>24%</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6E521BE9">
            <w:pPr>
              <w:widowControl/>
              <w:jc w:val="left"/>
              <w:textAlignment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24分</w:t>
            </w:r>
          </w:p>
        </w:tc>
        <w:tc>
          <w:tcPr>
            <w:tcW w:w="5794" w:type="dxa"/>
            <w:tcBorders>
              <w:top w:val="single" w:color="000000" w:sz="4" w:space="0"/>
              <w:left w:val="single" w:color="000000" w:sz="4" w:space="0"/>
              <w:bottom w:val="single" w:color="000000" w:sz="4" w:space="0"/>
              <w:right w:val="single" w:color="000000" w:sz="4" w:space="0"/>
            </w:tcBorders>
            <w:noWrap w:val="0"/>
            <w:vAlign w:val="center"/>
          </w:tcPr>
          <w:p w14:paraId="41592CA6">
            <w:pPr>
              <w:widowControl/>
              <w:jc w:val="left"/>
              <w:textAlignment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1.中标后售后服务能力保障，本项最多得10分，</w:t>
            </w:r>
            <w:r>
              <w:rPr>
                <w:rFonts w:hint="eastAsia" w:ascii="仿宋" w:hAnsi="仿宋" w:eastAsia="仿宋" w:cs="仿宋"/>
                <w:color w:val="auto"/>
                <w:highlight w:val="none"/>
                <w:lang w:eastAsia="zh-CN"/>
              </w:rPr>
              <w:t>每有一项内容缺失扣</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lang w:eastAsia="zh-CN"/>
              </w:rPr>
              <w:t>分</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lang w:eastAsia="zh-CN"/>
              </w:rPr>
              <w:t>内容前后不一致、前后逻辑错误、涉及的规范及标准错误</w:t>
            </w:r>
            <w:r>
              <w:rPr>
                <w:rFonts w:hint="eastAsia" w:ascii="仿宋" w:hAnsi="仿宋" w:eastAsia="仿宋" w:cs="仿宋"/>
                <w:color w:val="auto"/>
                <w:highlight w:val="none"/>
                <w:lang w:val="en-US" w:eastAsia="zh-CN"/>
              </w:rPr>
              <w:t>等）扣完为止。</w:t>
            </w:r>
          </w:p>
          <w:p w14:paraId="2CCBA46B">
            <w:pPr>
              <w:widowControl/>
              <w:jc w:val="left"/>
              <w:textAlignment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2.售后人员安全保障方案，本项最多得6分，每有一项内容缺失扣2分（</w:t>
            </w:r>
            <w:r>
              <w:rPr>
                <w:rFonts w:hint="eastAsia" w:ascii="仿宋" w:hAnsi="仿宋" w:eastAsia="仿宋" w:cs="仿宋"/>
                <w:color w:val="auto"/>
                <w:highlight w:val="none"/>
                <w:lang w:eastAsia="zh-CN"/>
              </w:rPr>
              <w:t>内容前后不一致、前后逻辑错误、涉及的规范及标准错误</w:t>
            </w:r>
            <w:r>
              <w:rPr>
                <w:rFonts w:hint="eastAsia" w:ascii="仿宋" w:hAnsi="仿宋" w:eastAsia="仿宋" w:cs="仿宋"/>
                <w:color w:val="auto"/>
                <w:highlight w:val="none"/>
                <w:lang w:val="en-US" w:eastAsia="zh-CN"/>
              </w:rPr>
              <w:t>等）扣完为止。</w:t>
            </w:r>
          </w:p>
          <w:p w14:paraId="5F2AA33B">
            <w:pPr>
              <w:widowControl/>
              <w:jc w:val="left"/>
              <w:textAlignment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3.售后首次响应能力保障方案，本项最多得8分。每有一项内容缺失扣2分.（</w:t>
            </w:r>
            <w:r>
              <w:rPr>
                <w:rFonts w:hint="eastAsia" w:ascii="仿宋" w:hAnsi="仿宋" w:eastAsia="仿宋" w:cs="仿宋"/>
                <w:color w:val="auto"/>
                <w:highlight w:val="none"/>
                <w:lang w:eastAsia="zh-CN"/>
              </w:rPr>
              <w:t>内容前后不一致、前后逻辑错误、涉及的规范及标准错误</w:t>
            </w:r>
            <w:r>
              <w:rPr>
                <w:rFonts w:hint="eastAsia" w:ascii="仿宋" w:hAnsi="仿宋" w:eastAsia="仿宋" w:cs="仿宋"/>
                <w:color w:val="auto"/>
                <w:highlight w:val="none"/>
                <w:lang w:val="en-US" w:eastAsia="zh-CN"/>
              </w:rPr>
              <w:t>等）扣完为止。</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14:paraId="3B2A435A">
            <w:pPr>
              <w:jc w:val="left"/>
              <w:rPr>
                <w:rFonts w:ascii="仿宋" w:hAnsi="仿宋" w:eastAsia="仿宋" w:cs="仿宋"/>
                <w:color w:val="auto"/>
                <w:sz w:val="22"/>
              </w:rPr>
            </w:pPr>
          </w:p>
        </w:tc>
      </w:tr>
    </w:tbl>
    <w:p w14:paraId="705B4A92">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w:t>
      </w:r>
    </w:p>
    <w:p w14:paraId="62A49AAD">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（一）中小企业政策</w:t>
      </w:r>
    </w:p>
    <w:p w14:paraId="1F8548BF">
      <w:pPr>
        <w:spacing w:line="360" w:lineRule="auto"/>
        <w:ind w:firstLine="560"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sz w:val="28"/>
          <w:szCs w:val="28"/>
        </w:rPr>
        <w:sym w:font="Wingdings" w:char="00FE"/>
      </w:r>
      <w:r>
        <w:rPr>
          <w:rFonts w:hint="eastAsia" w:ascii="方正仿宋_GBK" w:hAnsi="方正仿宋_GBK" w:eastAsia="方正仿宋_GBK" w:cs="方正仿宋_GBK"/>
          <w:b/>
          <w:bCs/>
          <w:sz w:val="28"/>
          <w:szCs w:val="28"/>
          <w:lang w:val="zh-CN"/>
        </w:rPr>
        <w:t>本项目属于专门面向中小企业采购的政府采购项目，小微企业不再享受价格评审优惠。</w:t>
      </w:r>
    </w:p>
    <w:p w14:paraId="1A80AE19">
      <w:pPr>
        <w:spacing w:line="360" w:lineRule="auto"/>
        <w:ind w:firstLine="562"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val="zh-CN"/>
        </w:rPr>
        <w:sym w:font="Wingdings" w:char="00A8"/>
      </w:r>
      <w:r>
        <w:rPr>
          <w:rFonts w:hint="eastAsia" w:ascii="方正仿宋_GBK" w:hAnsi="方正仿宋_GBK" w:eastAsia="方正仿宋_GBK" w:cs="方正仿宋_GBK"/>
          <w:b/>
          <w:bCs/>
          <w:sz w:val="28"/>
          <w:szCs w:val="28"/>
          <w:lang w:val="zh-CN"/>
        </w:rPr>
        <w:t>本项目非面向中小企业采购的政府采购项目，小微企业享受以下价格评审优惠：</w:t>
      </w:r>
    </w:p>
    <w:p w14:paraId="67A8CC65">
      <w:pPr>
        <w:spacing w:line="360" w:lineRule="auto"/>
        <w:ind w:firstLine="560" w:firstLineChars="20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rPr>
        <w:t>小微企业（监狱企业、残疾人福利单位视同小微企业）价格扣除</w:t>
      </w:r>
      <w:r>
        <w:rPr>
          <w:rFonts w:hint="eastAsia" w:ascii="方正仿宋_GBK" w:hAnsi="方正仿宋_GBK" w:eastAsia="方正仿宋_GBK" w:cs="方正仿宋_GBK"/>
          <w:color w:val="auto"/>
          <w:sz w:val="28"/>
          <w:szCs w:val="28"/>
          <w:lang w:eastAsia="zh-CN"/>
        </w:rPr>
        <w:t>。</w:t>
      </w:r>
    </w:p>
    <w:p w14:paraId="7E2BA53E">
      <w:pPr>
        <w:spacing w:line="360" w:lineRule="auto"/>
        <w:ind w:firstLine="560" w:firstLineChars="200"/>
        <w:rPr>
          <w:rFonts w:hint="eastAsia" w:ascii="方正仿宋_GBK" w:hAnsi="方正仿宋_GBK" w:eastAsia="方正仿宋_GBK" w:cs="方正仿宋_GBK"/>
          <w:color w:val="auto"/>
          <w:sz w:val="28"/>
          <w:szCs w:val="28"/>
        </w:rPr>
      </w:pPr>
      <w:bookmarkStart w:id="38" w:name="bookmark36"/>
      <w:bookmarkEnd w:id="38"/>
      <w:r>
        <w:rPr>
          <w:rFonts w:hint="eastAsia" w:ascii="方正仿宋_GBK" w:hAnsi="方正仿宋_GBK" w:eastAsia="方正仿宋_GBK" w:cs="方正仿宋_GBK"/>
          <w:color w:val="auto"/>
          <w:sz w:val="28"/>
          <w:szCs w:val="28"/>
        </w:rPr>
        <w:t>（1）根据</w:t>
      </w:r>
      <w:r>
        <w:rPr>
          <w:rFonts w:hint="eastAsia" w:ascii="方正仿宋_GBK" w:hAnsi="方正仿宋_GBK" w:eastAsia="方正仿宋_GBK" w:cs="方正仿宋_GBK"/>
          <w:color w:val="auto"/>
          <w:sz w:val="28"/>
          <w:szCs w:val="28"/>
          <w:lang w:val="en-US" w:eastAsia="zh-CN"/>
        </w:rPr>
        <w:t xml:space="preserve">《四川省财政厅关于转发〈财政部关于进一步加大政 </w:t>
      </w:r>
    </w:p>
    <w:p w14:paraId="194131AC">
      <w:pPr>
        <w:spacing w:line="360" w:lineRule="auto"/>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府采购支持中小企业力度的通知〉的通知》（川财采〔2022〕 78号）、巴中市财政局关于进一步加大政府采购支持中小企业力度的通知（巴财采〔2022〕14号）</w:t>
      </w:r>
      <w:r>
        <w:rPr>
          <w:rFonts w:hint="eastAsia" w:ascii="方正仿宋_GBK" w:hAnsi="方正仿宋_GBK" w:eastAsia="方正仿宋_GBK" w:cs="方正仿宋_GBK"/>
          <w:color w:val="auto"/>
          <w:sz w:val="28"/>
          <w:szCs w:val="28"/>
        </w:rPr>
        <w:t>的规定，对小型和微型企业产品的价格给予</w:t>
      </w:r>
      <w:r>
        <w:rPr>
          <w:rFonts w:hint="eastAsia" w:ascii="方正仿宋_GBK" w:hAnsi="方正仿宋_GBK" w:eastAsia="方正仿宋_GBK" w:cs="方正仿宋_GBK"/>
          <w:color w:val="auto"/>
          <w:sz w:val="28"/>
          <w:szCs w:val="28"/>
          <w:lang w:val="en-US" w:eastAsia="zh-CN"/>
        </w:rPr>
        <w:t>20</w:t>
      </w:r>
      <w:r>
        <w:rPr>
          <w:rFonts w:hint="eastAsia" w:ascii="方正仿宋_GBK" w:hAnsi="方正仿宋_GBK" w:eastAsia="方正仿宋_GBK" w:cs="方正仿宋_GBK"/>
          <w:color w:val="auto"/>
          <w:sz w:val="28"/>
          <w:szCs w:val="28"/>
        </w:rPr>
        <w:t>%的价格扣除，用扣除后的价格参与评审，符合中小企业划分标准的个体工商户，在政府采购活动中视同中小企业。</w:t>
      </w:r>
    </w:p>
    <w:p w14:paraId="18318A88">
      <w:pPr>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（2）参加政府采购活动的中小企业应当提供《中小企业声明函》原件，监狱企业应当提供《监狱企业证明》原件,残疾人福利性单位应当提供《残疾人福利性单位声明函》原件。</w:t>
      </w:r>
    </w:p>
    <w:p w14:paraId="0C11768F">
      <w:pPr>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大中型企业和其他自然人、法人或者其他组织与小型、微型企业组成联合体共同参加非专门面向中小企业的政府采购活动的，联合体报价协议中约定，小型、微型企业的协议合同金额占到联合体报价协议合同总金额</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0%以上的，可给予联合体</w:t>
      </w:r>
      <w:r>
        <w:rPr>
          <w:rFonts w:hint="eastAsia" w:ascii="方正仿宋_GBK" w:hAnsi="方正仿宋_GBK" w:eastAsia="方正仿宋_GBK" w:cs="方正仿宋_GBK"/>
          <w:color w:val="auto"/>
          <w:sz w:val="28"/>
          <w:szCs w:val="28"/>
          <w:lang w:val="en-US" w:eastAsia="zh-CN"/>
        </w:rPr>
        <w:t>6</w:t>
      </w:r>
      <w:r>
        <w:rPr>
          <w:rFonts w:hint="eastAsia" w:ascii="方正仿宋_GBK" w:hAnsi="方正仿宋_GBK" w:eastAsia="方正仿宋_GBK" w:cs="方正仿宋_GBK"/>
          <w:color w:val="auto"/>
          <w:sz w:val="28"/>
          <w:szCs w:val="28"/>
        </w:rPr>
        <w:t>%的价格扣除。（本条仅适用于允许联合体参与的项目）</w:t>
      </w:r>
    </w:p>
    <w:p w14:paraId="1CB80EAE">
      <w:pPr>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联合体各方均为小型、微型企业的，联合体视同为小型、微型企业享受规定的扶持政策。组成联合体的大中型企业和其他自然人、法人或者其他组织，与小型、微型企业之间不得存在投资关系。（本条仅适用于允许联合体参与的项目）</w:t>
      </w:r>
    </w:p>
    <w:p w14:paraId="330AE01D">
      <w:pPr>
        <w:spacing w:line="360" w:lineRule="auto"/>
        <w:ind w:firstLine="560" w:firstLineChars="200"/>
        <w:rPr>
          <w:rFonts w:ascii="方正仿宋_GBK" w:hAnsi="方正仿宋_GBK" w:eastAsia="方正仿宋_GBK" w:cs="方正仿宋_GBK"/>
          <w:sz w:val="28"/>
          <w:szCs w:val="28"/>
        </w:rPr>
      </w:pPr>
      <w:bookmarkStart w:id="39" w:name="bookmark38"/>
      <w:bookmarkEnd w:id="39"/>
      <w:r>
        <w:rPr>
          <w:rFonts w:hint="eastAsia" w:ascii="方正仿宋_GBK" w:hAnsi="方正仿宋_GBK" w:eastAsia="方正仿宋_GBK" w:cs="方正仿宋_GBK"/>
          <w:sz w:val="28"/>
          <w:szCs w:val="28"/>
        </w:rPr>
        <w:t>（二）不发达地区和少数民族地区扶持政策</w:t>
      </w:r>
    </w:p>
    <w:p w14:paraId="74CC4272">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中华人民共和国政府采购法》第九条的相关规定，在报价相同时，成交候选供应商并列的情况下，优先确定注册地为不发达地区、少数民族地区的供应商为成交供应商。供应商须在响应文件提供相关证明材料，否则不享受本扶持政策。</w:t>
      </w:r>
    </w:p>
    <w:p w14:paraId="6461ABC3">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（三）失信企业报价加成或者扣分</w:t>
      </w:r>
    </w:p>
    <w:p w14:paraId="27B96C48">
      <w:pPr>
        <w:spacing w:line="360" w:lineRule="auto"/>
        <w:ind w:firstLine="560" w:firstLineChars="200"/>
        <w:rPr>
          <w:rFonts w:ascii="方正仿宋_GBK" w:hAnsi="方正仿宋_GBK" w:eastAsia="方正仿宋_GBK" w:cs="方正仿宋_GBK"/>
          <w:sz w:val="28"/>
          <w:szCs w:val="28"/>
        </w:rPr>
      </w:pPr>
      <w:bookmarkStart w:id="40" w:name="bookmark40"/>
      <w:bookmarkEnd w:id="40"/>
      <w:r>
        <w:rPr>
          <w:rFonts w:hint="eastAsia" w:ascii="方正仿宋_GBK" w:hAnsi="方正仿宋_GBK" w:eastAsia="方正仿宋_GBK" w:cs="方正仿宋_GBK"/>
          <w:sz w:val="28"/>
          <w:szCs w:val="28"/>
        </w:rPr>
        <w:t>（1）对记入诚信档案且在有效期内的失信供应商，参加政府采购活动按照10%的报价加成，以加成后报价作为该供应商报价参与评审。供应商失信行为惩戒实行无限制累加制，因其失信行为进行报价加成惩戒后报价超过政府采购预算的，其响应文件按照无效处理。</w:t>
      </w:r>
    </w:p>
    <w:p w14:paraId="624834EE">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（2）供应商参加政府采购活动时，应当就自己的诚信情况在响应文件中进行承诺。</w:t>
      </w:r>
    </w:p>
    <w:p w14:paraId="4C01AB1C">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（四）环保节能产品、无线局域网认证产品政策 </w:t>
      </w:r>
    </w:p>
    <w:p w14:paraId="3FCA5FC6">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1、按照《财政部发展改革委生态环境部市场监管总局关于调整优 化节能产品、环境标志产品政府采购执行机制的通知》（财库〔2019〕 9 号）文件规定执行。依据品目清单和认证证书实施政府优先采购和强制采购。</w:t>
      </w:r>
    </w:p>
    <w:p w14:paraId="62FC9BB7">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2、采购人拟采购的产品属于《环境标志产品政府采购品目清单》 （财库〔2019〕18 号）和《节能产品政府采购品目清单》（财库〔2019〕 19 号）清单范围的，采购人及其委托的采购代理机构应当依据市场 监管总局发布的《市场监管总局关于发布参与实施政府采购节能产品、 环境标志产品认证机构名录的公告》（2019 年第 16 号）名单内的认 证机构出具的处于有效期之内的节能产品、环境标志产品认证证书，对获得证书的产品实施政府优先采购或强制采购。 </w:t>
      </w:r>
    </w:p>
    <w:p w14:paraId="04527FF1">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（1）采购人拟采购的产品属于强制采购品目的，供应商必须提供强制采购品目内的产品。 </w:t>
      </w:r>
    </w:p>
    <w:p w14:paraId="4ABE4B01">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（2）采购人拟采购的产品属于优先采购品目的，当供应商的评审价相同时，优先采购其响应产品属于优先采购品目内的产品。 </w:t>
      </w:r>
    </w:p>
    <w:p w14:paraId="3C3C109B">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3、本项目采购的产品属于中国政府采购网公布的《无线局域网认证产品政府采购清单》的，当供应商的评审价相同时，优先采购其响应产品属于《无线局域网认证产品政府采购清单》内的产品。</w:t>
      </w:r>
    </w:p>
    <w:p w14:paraId="57956C28">
      <w:pPr>
        <w:spacing w:line="360" w:lineRule="auto"/>
        <w:ind w:firstLine="562" w:firstLineChars="200"/>
        <w:rPr>
          <w:b/>
          <w:bCs/>
        </w:rPr>
      </w:pPr>
      <w:r>
        <w:rPr>
          <w:rFonts w:hint="eastAsia" w:ascii="方正仿宋_GBK" w:hAnsi="方正仿宋_GBK" w:eastAsia="方正仿宋_GBK" w:cs="方正仿宋_GBK"/>
          <w:b/>
          <w:bCs/>
          <w:sz w:val="28"/>
          <w:szCs w:val="28"/>
        </w:rPr>
        <w:t>注：以中国政府采购网（www.ccgp.gov.cn）信息查询结果为准。</w:t>
      </w:r>
    </w:p>
    <w:p w14:paraId="4F520043">
      <w:pPr>
        <w:pStyle w:val="7"/>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w:t>
      </w:r>
      <w:r>
        <w:rPr>
          <w:rFonts w:hint="eastAsia" w:ascii="方正仿宋_GBK" w:hAnsi="方正仿宋_GBK" w:eastAsia="方正仿宋_GBK" w:cs="方正仿宋_GBK"/>
          <w:sz w:val="28"/>
          <w:szCs w:val="28"/>
          <w:lang w:val="zh-CN"/>
        </w:rPr>
        <w:t>政采贷</w:t>
      </w:r>
      <w:r>
        <w:rPr>
          <w:rFonts w:hint="eastAsia" w:ascii="方正仿宋_GBK" w:hAnsi="方正仿宋_GBK" w:eastAsia="方正仿宋_GBK" w:cs="方正仿宋_GBK"/>
          <w:sz w:val="28"/>
          <w:szCs w:val="28"/>
        </w:rPr>
        <w:t>”</w:t>
      </w:r>
    </w:p>
    <w:p w14:paraId="2243833B">
      <w:pPr>
        <w:pStyle w:val="7"/>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为助力解决中小企业、民营企业融资难、融资贵的问题</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zh-CN"/>
        </w:rPr>
        <w:t>符合我省</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zh-CN"/>
        </w:rPr>
        <w:t>政采贷</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zh-CN"/>
        </w:rPr>
        <w:t>办理条件的中标人</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zh-CN"/>
        </w:rPr>
        <w:t>可按照规定基于政府采购合同按优惠贷款利率办理</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zh-CN"/>
        </w:rPr>
        <w:t>政采贷</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zh-CN"/>
        </w:rPr>
        <w:t>办理渠道见四川省政采贷信息服务平台</w:t>
      </w:r>
      <w:r>
        <w:rPr>
          <w:rFonts w:hint="eastAsia" w:ascii="方正仿宋_GBK" w:hAnsi="方正仿宋_GBK" w:eastAsia="方正仿宋_GBK" w:cs="方正仿宋_GBK"/>
          <w:sz w:val="28"/>
          <w:szCs w:val="28"/>
        </w:rPr>
        <w:t>（http://202.61.88.41:9009/static/login/login.html）</w:t>
      </w:r>
      <w:r>
        <w:rPr>
          <w:rFonts w:hint="eastAsia" w:ascii="方正仿宋_GBK" w:hAnsi="方正仿宋_GBK" w:eastAsia="方正仿宋_GBK" w:cs="方正仿宋_GBK"/>
          <w:sz w:val="28"/>
          <w:szCs w:val="28"/>
          <w:lang w:val="zh-CN"/>
        </w:rPr>
        <w:t>。</w:t>
      </w:r>
    </w:p>
    <w:p w14:paraId="1FBC21E0">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ascii="方正仿宋_GBK" w:hAnsi="方正仿宋_GBK" w:eastAsia="方正仿宋_GBK" w:cs="方正仿宋_GBK"/>
          <w:sz w:val="28"/>
          <w:szCs w:val="28"/>
          <w:lang w:eastAsia="zh-CN"/>
        </w:rPr>
        <w:t>（六）</w:t>
      </w:r>
      <w:r>
        <w:rPr>
          <w:rFonts w:hint="eastAsia" w:ascii="方正仿宋_GBK" w:hAnsi="方正仿宋_GBK" w:eastAsia="方正仿宋_GBK" w:cs="方正仿宋_GBK"/>
          <w:sz w:val="28"/>
          <w:szCs w:val="28"/>
        </w:rPr>
        <w:t>除银行、保险、石油石化、电信（含广电网络）等特殊行业可以以法人的分支机构投标外，其他行业不得以法人分支机构投标。此类情形的磋商文件有关“法定代表人”或字样的表示，均可用“分公司负责人”代替。</w:t>
      </w:r>
    </w:p>
    <w:p w14:paraId="57679237">
      <w:pPr>
        <w:pStyle w:val="3"/>
        <w:rPr>
          <w:rFonts w:ascii="方正仿宋_GBK" w:hAnsi="方正仿宋_GBK"/>
          <w:sz w:val="28"/>
          <w:szCs w:val="28"/>
        </w:rPr>
      </w:pPr>
      <w:bookmarkStart w:id="41" w:name="_Toc2781"/>
      <w:r>
        <w:rPr>
          <w:rFonts w:hint="eastAsia" w:ascii="方正仿宋_GBK" w:hAnsi="方正仿宋_GBK"/>
          <w:sz w:val="28"/>
          <w:szCs w:val="28"/>
        </w:rPr>
        <w:t>九、文件获取方式、时间、地点</w:t>
      </w:r>
      <w:bookmarkEnd w:id="34"/>
      <w:bookmarkEnd w:id="35"/>
      <w:bookmarkEnd w:id="41"/>
    </w:p>
    <w:p w14:paraId="0C93F2DF">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公告方式：本次竞争性磋商邀请在四川振嘉工程招标代理有限公司网站上以公告形式发布。</w:t>
      </w:r>
    </w:p>
    <w:p w14:paraId="5D377079">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采购文件自</w:t>
      </w:r>
      <w:r>
        <w:rPr>
          <w:rFonts w:hint="eastAsia" w:ascii="方正仿宋_GBK" w:hAnsi="方正仿宋_GBK" w:eastAsia="方正仿宋_GBK" w:cs="方正仿宋_GBK"/>
          <w:sz w:val="28"/>
          <w:szCs w:val="28"/>
          <w:highlight w:val="none"/>
        </w:rPr>
        <w:t>202</w:t>
      </w:r>
      <w:r>
        <w:rPr>
          <w:rFonts w:hint="eastAsia" w:ascii="方正仿宋_GBK" w:hAnsi="方正仿宋_GBK" w:eastAsia="方正仿宋_GBK" w:cs="方正仿宋_GBK"/>
          <w:sz w:val="28"/>
          <w:szCs w:val="28"/>
          <w:highlight w:val="none"/>
          <w:lang w:val="en-US" w:eastAsia="zh-CN"/>
        </w:rPr>
        <w:t>4</w:t>
      </w:r>
      <w:r>
        <w:rPr>
          <w:rFonts w:hint="eastAsia" w:ascii="方正仿宋_GBK" w:hAnsi="方正仿宋_GBK" w:eastAsia="方正仿宋_GBK" w:cs="方正仿宋_GBK"/>
          <w:sz w:val="28"/>
          <w:szCs w:val="28"/>
          <w:highlight w:val="none"/>
        </w:rPr>
        <w:t>年</w:t>
      </w:r>
      <w:r>
        <w:rPr>
          <w:rFonts w:hint="eastAsia" w:ascii="方正仿宋_GBK" w:hAnsi="方正仿宋_GBK" w:eastAsia="方正仿宋_GBK" w:cs="方正仿宋_GBK"/>
          <w:sz w:val="28"/>
          <w:szCs w:val="28"/>
          <w:highlight w:val="none"/>
          <w:u w:val="single"/>
          <w:lang w:val="en-US" w:eastAsia="zh-CN"/>
        </w:rPr>
        <w:t>10</w:t>
      </w:r>
      <w:r>
        <w:rPr>
          <w:rFonts w:hint="eastAsia" w:ascii="方正仿宋_GBK" w:hAnsi="方正仿宋_GBK" w:eastAsia="方正仿宋_GBK" w:cs="方正仿宋_GBK"/>
          <w:sz w:val="28"/>
          <w:szCs w:val="28"/>
          <w:highlight w:val="none"/>
        </w:rPr>
        <w:t>月</w:t>
      </w:r>
      <w:r>
        <w:rPr>
          <w:rFonts w:hint="eastAsia" w:ascii="方正仿宋_GBK" w:hAnsi="方正仿宋_GBK" w:eastAsia="方正仿宋_GBK" w:cs="方正仿宋_GBK"/>
          <w:sz w:val="28"/>
          <w:szCs w:val="28"/>
          <w:highlight w:val="none"/>
          <w:lang w:val="en-US" w:eastAsia="zh-CN"/>
        </w:rPr>
        <w:t>22</w:t>
      </w:r>
      <w:r>
        <w:rPr>
          <w:rFonts w:hint="eastAsia" w:ascii="方正仿宋_GBK" w:hAnsi="方正仿宋_GBK" w:eastAsia="方正仿宋_GBK" w:cs="方正仿宋_GBK"/>
          <w:sz w:val="28"/>
          <w:szCs w:val="28"/>
          <w:highlight w:val="none"/>
        </w:rPr>
        <w:t>日至202</w:t>
      </w:r>
      <w:r>
        <w:rPr>
          <w:rFonts w:hint="eastAsia" w:ascii="方正仿宋_GBK" w:hAnsi="方正仿宋_GBK" w:eastAsia="方正仿宋_GBK" w:cs="方正仿宋_GBK"/>
          <w:sz w:val="28"/>
          <w:szCs w:val="28"/>
          <w:highlight w:val="none"/>
          <w:lang w:val="en-US" w:eastAsia="zh-CN"/>
        </w:rPr>
        <w:t>4</w:t>
      </w:r>
      <w:r>
        <w:rPr>
          <w:rFonts w:hint="eastAsia" w:ascii="方正仿宋_GBK" w:hAnsi="方正仿宋_GBK" w:eastAsia="方正仿宋_GBK" w:cs="方正仿宋_GBK"/>
          <w:sz w:val="28"/>
          <w:szCs w:val="28"/>
          <w:highlight w:val="none"/>
        </w:rPr>
        <w:t>年</w:t>
      </w:r>
      <w:r>
        <w:rPr>
          <w:rFonts w:hint="eastAsia" w:ascii="方正仿宋_GBK" w:hAnsi="方正仿宋_GBK" w:eastAsia="方正仿宋_GBK" w:cs="方正仿宋_GBK"/>
          <w:sz w:val="28"/>
          <w:szCs w:val="28"/>
          <w:highlight w:val="none"/>
          <w:u w:val="single"/>
          <w:lang w:val="en-US" w:eastAsia="zh-CN"/>
        </w:rPr>
        <w:t>10</w:t>
      </w:r>
      <w:r>
        <w:rPr>
          <w:rFonts w:hint="eastAsia" w:ascii="方正仿宋_GBK" w:hAnsi="方正仿宋_GBK" w:eastAsia="方正仿宋_GBK" w:cs="方正仿宋_GBK"/>
          <w:sz w:val="28"/>
          <w:szCs w:val="28"/>
          <w:highlight w:val="none"/>
        </w:rPr>
        <w:t>月</w:t>
      </w:r>
      <w:r>
        <w:rPr>
          <w:rFonts w:hint="eastAsia" w:ascii="方正仿宋_GBK" w:hAnsi="方正仿宋_GBK" w:eastAsia="方正仿宋_GBK" w:cs="方正仿宋_GBK"/>
          <w:sz w:val="28"/>
          <w:szCs w:val="28"/>
          <w:highlight w:val="none"/>
          <w:lang w:val="en-US" w:eastAsia="zh-CN"/>
        </w:rPr>
        <w:t>28</w:t>
      </w:r>
      <w:r>
        <w:rPr>
          <w:rFonts w:hint="eastAsia" w:ascii="方正仿宋_GBK" w:hAnsi="方正仿宋_GBK" w:eastAsia="方正仿宋_GBK" w:cs="方正仿宋_GBK"/>
          <w:sz w:val="28"/>
          <w:szCs w:val="28"/>
          <w:highlight w:val="none"/>
        </w:rPr>
        <w:t>日09:00-</w:t>
      </w:r>
      <w:r>
        <w:rPr>
          <w:rFonts w:hint="eastAsia" w:ascii="方正仿宋_GBK" w:hAnsi="方正仿宋_GBK" w:eastAsia="方正仿宋_GBK" w:cs="方正仿宋_GBK"/>
          <w:sz w:val="28"/>
          <w:szCs w:val="28"/>
        </w:rPr>
        <w:t>12：00;14:00-17:00（北京时间，法定节假日除外）在巴中市江北大道西段凯悦名城9栋12楼（四川振嘉工程招标代理有限公司）</w:t>
      </w:r>
      <w:r>
        <w:rPr>
          <w:rFonts w:hint="eastAsia" w:ascii="方正仿宋_GBK" w:hAnsi="方正仿宋_GBK" w:eastAsia="方正仿宋_GBK" w:cs="方正仿宋_GBK"/>
          <w:kern w:val="0"/>
          <w:sz w:val="28"/>
          <w:szCs w:val="28"/>
        </w:rPr>
        <w:t>现场获取/网上获取。</w:t>
      </w:r>
      <w:bookmarkStart w:id="72" w:name="_GoBack"/>
      <w:bookmarkEnd w:id="72"/>
    </w:p>
    <w:p w14:paraId="2D563CC9">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获取采购文件方式：</w:t>
      </w:r>
    </w:p>
    <w:p w14:paraId="7086341D">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现场获取：供应商为法人或者其他组织的，需提供单位介绍信、经办人身份证明；供应商为自然人的，需提供本人身份证明。单位介绍信及经办人身份证明必须加盖供应商鲜章，介绍信内容应清晰备注购买的项目名称、项目编号、日期（购买当天日期或注明有效期）、购买单位联系方式（包括联系人姓名、手机号、电子邮箱）。</w:t>
      </w:r>
    </w:p>
    <w:p w14:paraId="32E7F74B">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2、网上获取：实行邮箱获取，在采购文件获取期限内将如下扫描件发送给四川振嘉工程招标代理有限公司邮箱（</w:t>
      </w:r>
      <w:r>
        <w:rPr>
          <w:rFonts w:hint="eastAsia" w:ascii="方正仿宋_GBK" w:hAnsi="方正仿宋_GBK" w:eastAsia="方正仿宋_GBK" w:cs="方正仿宋_GBK"/>
          <w:sz w:val="28"/>
          <w:szCs w:val="28"/>
          <w:lang w:val="en-US" w:eastAsia="zh-CN"/>
        </w:rPr>
        <w:t>1556886488</w:t>
      </w:r>
      <w:r>
        <w:rPr>
          <w:rFonts w:hint="eastAsia" w:ascii="方正仿宋_GBK" w:hAnsi="方正仿宋_GBK" w:eastAsia="方正仿宋_GBK" w:cs="方正仿宋_GBK"/>
          <w:sz w:val="28"/>
          <w:szCs w:val="28"/>
        </w:rPr>
        <w:t>@qq.com）：供应商为法人或者其他组织的，需提供单位介绍信、经办人身份证明，交款凭证（备注交款单位、本项目名称/编号）；供应商为自然人的，需提供本人身份证明。单位介绍信及经办人身份证明必须加盖供应商鲜章，介绍信内容应清晰备注购买的项目名称、项目编号、日期（购买当天日期或注明有效期）、、购买单位联系方式（包括联系人姓名、手机号、电子邮箱），开标前将原件交给采购代理机构留存。</w:t>
      </w:r>
    </w:p>
    <w:p w14:paraId="32591E03">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采购文件售价：</w:t>
      </w:r>
      <w:r>
        <w:rPr>
          <w:rFonts w:hint="eastAsia" w:ascii="方正仿宋_GBK" w:hAnsi="方正仿宋_GBK" w:eastAsia="方正仿宋_GBK" w:cs="方正仿宋_GBK"/>
          <w:kern w:val="0"/>
          <w:sz w:val="28"/>
          <w:szCs w:val="28"/>
          <w:lang w:val="en-US" w:eastAsia="zh-CN"/>
        </w:rPr>
        <w:t>5</w:t>
      </w:r>
      <w:r>
        <w:rPr>
          <w:rFonts w:hint="eastAsia" w:ascii="方正仿宋_GBK" w:hAnsi="方正仿宋_GBK" w:eastAsia="方正仿宋_GBK" w:cs="方正仿宋_GBK"/>
          <w:kern w:val="0"/>
          <w:sz w:val="28"/>
          <w:szCs w:val="28"/>
        </w:rPr>
        <w:t>00元/份（采购文件售后不退，竞争性磋商资格不能转让）。</w:t>
      </w:r>
    </w:p>
    <w:p w14:paraId="1DE98B4E">
      <w:pPr>
        <w:spacing w:line="360" w:lineRule="auto"/>
        <w:ind w:firstLine="560" w:firstLineChars="200"/>
        <w:rPr>
          <w:rFonts w:ascii="方正仿宋_GBK" w:hAnsi="方正仿宋_GBK" w:eastAsia="方正仿宋_GBK" w:cs="方正仿宋_GBK"/>
          <w:color w:val="000000"/>
          <w:sz w:val="28"/>
          <w:szCs w:val="28"/>
        </w:rPr>
      </w:pPr>
      <w:bookmarkStart w:id="42" w:name="_Toc20158"/>
      <w:bookmarkStart w:id="43" w:name="_Toc17808"/>
      <w:r>
        <w:rPr>
          <w:rFonts w:hint="eastAsia" w:ascii="方正仿宋_GBK" w:hAnsi="方正仿宋_GBK" w:eastAsia="方正仿宋_GBK" w:cs="方正仿宋_GBK"/>
          <w:color w:val="000000"/>
          <w:sz w:val="28"/>
          <w:szCs w:val="28"/>
        </w:rPr>
        <w:t>收款二维码见右图：</w:t>
      </w:r>
      <w:r>
        <w:rPr>
          <w:rFonts w:hint="eastAsia" w:ascii="方正仿宋_GBK" w:hAnsi="方正仿宋_GBK" w:eastAsia="方正仿宋_GBK" w:cs="方正仿宋_GBK"/>
          <w:color w:val="auto"/>
          <w:sz w:val="28"/>
          <w:szCs w:val="28"/>
        </w:rPr>
        <w:drawing>
          <wp:inline distT="0" distB="0" distL="114300" distR="114300">
            <wp:extent cx="1263015" cy="1718945"/>
            <wp:effectExtent l="0" t="0" r="1905" b="3175"/>
            <wp:docPr id="1" name="图片 5" descr="303d9e28c0b486bf3a26892d5ff4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303d9e28c0b486bf3a26892d5ff4ca2"/>
                    <pic:cNvPicPr>
                      <a:picLocks noChangeAspect="1"/>
                    </pic:cNvPicPr>
                  </pic:nvPicPr>
                  <pic:blipFill>
                    <a:blip r:embed="rId8"/>
                    <a:stretch>
                      <a:fillRect/>
                    </a:stretch>
                  </pic:blipFill>
                  <pic:spPr>
                    <a:xfrm>
                      <a:off x="0" y="0"/>
                      <a:ext cx="1263015" cy="1718945"/>
                    </a:xfrm>
                    <a:prstGeom prst="rect">
                      <a:avLst/>
                    </a:prstGeom>
                  </pic:spPr>
                </pic:pic>
              </a:graphicData>
            </a:graphic>
          </wp:inline>
        </w:drawing>
      </w:r>
    </w:p>
    <w:p w14:paraId="16E47898">
      <w:pPr>
        <w:spacing w:line="360" w:lineRule="auto"/>
        <w:ind w:firstLine="562"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（请注明项目名称及供应商名称）</w:t>
      </w:r>
    </w:p>
    <w:p w14:paraId="73BF00C1"/>
    <w:p w14:paraId="6EEF64B7"/>
    <w:p w14:paraId="25A07B2D">
      <w:pPr>
        <w:pStyle w:val="3"/>
        <w:rPr>
          <w:rFonts w:ascii="方正仿宋_GBK" w:hAnsi="方正仿宋_GBK"/>
          <w:sz w:val="28"/>
          <w:szCs w:val="28"/>
        </w:rPr>
      </w:pPr>
      <w:bookmarkStart w:id="44" w:name="_Toc8821"/>
      <w:r>
        <w:rPr>
          <w:rFonts w:hint="eastAsia" w:ascii="方正仿宋_GBK" w:hAnsi="方正仿宋_GBK"/>
          <w:sz w:val="28"/>
          <w:szCs w:val="28"/>
        </w:rPr>
        <w:t>十、递交响应文件截止时间</w:t>
      </w:r>
      <w:bookmarkEnd w:id="42"/>
      <w:bookmarkEnd w:id="43"/>
      <w:bookmarkEnd w:id="44"/>
    </w:p>
    <w:p w14:paraId="6D4A22D2">
      <w:pPr>
        <w:widowControl/>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u w:val="single"/>
        </w:rPr>
        <w:t>202</w:t>
      </w:r>
      <w:r>
        <w:rPr>
          <w:rFonts w:hint="eastAsia" w:ascii="方正仿宋_GBK" w:hAnsi="方正仿宋_GBK" w:eastAsia="方正仿宋_GBK" w:cs="方正仿宋_GBK"/>
          <w:sz w:val="28"/>
          <w:szCs w:val="28"/>
          <w:highlight w:val="none"/>
          <w:u w:val="single"/>
          <w:lang w:val="en-US" w:eastAsia="zh-CN"/>
        </w:rPr>
        <w:t>4</w:t>
      </w:r>
      <w:r>
        <w:rPr>
          <w:rFonts w:hint="eastAsia" w:ascii="方正仿宋_GBK" w:hAnsi="方正仿宋_GBK" w:eastAsia="方正仿宋_GBK" w:cs="方正仿宋_GBK"/>
          <w:sz w:val="28"/>
          <w:szCs w:val="28"/>
          <w:highlight w:val="none"/>
        </w:rPr>
        <w:t>年</w:t>
      </w:r>
      <w:r>
        <w:rPr>
          <w:rFonts w:hint="eastAsia" w:ascii="方正仿宋_GBK" w:hAnsi="方正仿宋_GBK" w:eastAsia="方正仿宋_GBK" w:cs="方正仿宋_GBK"/>
          <w:sz w:val="28"/>
          <w:szCs w:val="28"/>
          <w:highlight w:val="none"/>
          <w:u w:val="single"/>
          <w:lang w:val="en-US" w:eastAsia="zh-CN"/>
        </w:rPr>
        <w:t>11</w:t>
      </w:r>
      <w:r>
        <w:rPr>
          <w:rFonts w:hint="eastAsia" w:ascii="方正仿宋_GBK" w:hAnsi="方正仿宋_GBK" w:eastAsia="方正仿宋_GBK" w:cs="方正仿宋_GBK"/>
          <w:sz w:val="28"/>
          <w:szCs w:val="28"/>
          <w:highlight w:val="none"/>
        </w:rPr>
        <w:t>月</w:t>
      </w:r>
      <w:r>
        <w:rPr>
          <w:rFonts w:hint="eastAsia" w:ascii="方正仿宋_GBK" w:hAnsi="方正仿宋_GBK" w:eastAsia="方正仿宋_GBK" w:cs="方正仿宋_GBK"/>
          <w:sz w:val="28"/>
          <w:szCs w:val="28"/>
          <w:highlight w:val="none"/>
          <w:lang w:val="en-US" w:eastAsia="zh-CN"/>
        </w:rPr>
        <w:t>01</w:t>
      </w:r>
      <w:r>
        <w:rPr>
          <w:rFonts w:hint="eastAsia" w:ascii="方正仿宋_GBK" w:hAnsi="方正仿宋_GBK" w:eastAsia="方正仿宋_GBK" w:cs="方正仿宋_GBK"/>
          <w:sz w:val="28"/>
          <w:szCs w:val="28"/>
          <w:highlight w:val="none"/>
        </w:rPr>
        <w:t>日</w:t>
      </w:r>
      <w:r>
        <w:rPr>
          <w:rFonts w:hint="eastAsia" w:ascii="方正仿宋_GBK" w:hAnsi="方正仿宋_GBK" w:eastAsia="方正仿宋_GBK" w:cs="方正仿宋_GBK"/>
          <w:sz w:val="28"/>
          <w:szCs w:val="28"/>
          <w:highlight w:val="none"/>
          <w:lang w:val="en-US" w:eastAsia="zh-CN"/>
        </w:rPr>
        <w:t>10：00</w:t>
      </w:r>
      <w:r>
        <w:rPr>
          <w:rFonts w:hint="eastAsia" w:ascii="方正仿宋_GBK" w:hAnsi="方正仿宋_GBK" w:eastAsia="方正仿宋_GBK" w:cs="方正仿宋_GBK"/>
          <w:sz w:val="28"/>
          <w:szCs w:val="28"/>
          <w:highlight w:val="none"/>
        </w:rPr>
        <w:t>北京时间）。</w:t>
      </w:r>
    </w:p>
    <w:p w14:paraId="3050DAED">
      <w:pPr>
        <w:pStyle w:val="3"/>
        <w:rPr>
          <w:rFonts w:ascii="方正仿宋_GBK" w:hAnsi="方正仿宋_GBK"/>
          <w:sz w:val="28"/>
          <w:szCs w:val="28"/>
        </w:rPr>
      </w:pPr>
      <w:bookmarkStart w:id="45" w:name="_Toc25240"/>
      <w:bookmarkStart w:id="46" w:name="_Toc5730"/>
      <w:bookmarkStart w:id="47" w:name="_Toc7760"/>
      <w:r>
        <w:rPr>
          <w:rFonts w:hint="eastAsia" w:ascii="方正仿宋_GBK" w:hAnsi="方正仿宋_GBK"/>
          <w:sz w:val="28"/>
          <w:szCs w:val="28"/>
        </w:rPr>
        <w:t>十一、递交响应文件地点</w:t>
      </w:r>
      <w:bookmarkEnd w:id="45"/>
      <w:bookmarkEnd w:id="46"/>
      <w:bookmarkEnd w:id="47"/>
    </w:p>
    <w:p w14:paraId="48FFDA35">
      <w:pPr>
        <w:widowControl/>
        <w:ind w:firstLine="560" w:firstLineChars="200"/>
        <w:rPr>
          <w:rFonts w:ascii="方正仿宋_GBK" w:hAnsi="方正仿宋_GBK" w:eastAsia="方正仿宋_GBK" w:cs="方正仿宋_GBK"/>
          <w:sz w:val="28"/>
          <w:szCs w:val="28"/>
        </w:rPr>
      </w:pPr>
      <w:bookmarkStart w:id="48" w:name="_Toc28206"/>
      <w:r>
        <w:rPr>
          <w:rFonts w:hint="eastAsia" w:ascii="方正仿宋_GBK" w:hAnsi="方正仿宋_GBK" w:eastAsia="方正仿宋_GBK" w:cs="方正仿宋_GBK"/>
          <w:sz w:val="28"/>
          <w:szCs w:val="28"/>
        </w:rPr>
        <w:t>巴中市江北大道西段凯悦名城9栋12楼（四川振嘉工程招标代理有限公司）</w:t>
      </w:r>
      <w:bookmarkEnd w:id="48"/>
      <w:r>
        <w:rPr>
          <w:rFonts w:hint="eastAsia" w:ascii="方正仿宋_GBK" w:hAnsi="方正仿宋_GBK" w:eastAsia="方正仿宋_GBK" w:cs="方正仿宋_GBK"/>
          <w:sz w:val="28"/>
          <w:szCs w:val="28"/>
        </w:rPr>
        <w:t>。响应文件必须在递交响应文件截止时间前送达地点。逾期送达、密封和标注错误的响应文件，采购代理机构恕不接收。本次采购不可接收邮寄的响应文件。</w:t>
      </w:r>
    </w:p>
    <w:p w14:paraId="049D0D86">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文件递交时间：</w:t>
      </w:r>
      <w:r>
        <w:rPr>
          <w:rFonts w:hint="eastAsia" w:ascii="方正仿宋_GBK" w:hAnsi="方正仿宋_GBK" w:eastAsia="方正仿宋_GBK" w:cs="方正仿宋_GBK"/>
          <w:sz w:val="28"/>
          <w:szCs w:val="28"/>
          <w:highlight w:val="none"/>
        </w:rPr>
        <w:t>202</w:t>
      </w:r>
      <w:r>
        <w:rPr>
          <w:rFonts w:hint="eastAsia" w:ascii="方正仿宋_GBK" w:hAnsi="方正仿宋_GBK" w:eastAsia="方正仿宋_GBK" w:cs="方正仿宋_GBK"/>
          <w:sz w:val="28"/>
          <w:szCs w:val="28"/>
          <w:highlight w:val="none"/>
          <w:lang w:val="en-US" w:eastAsia="zh-CN"/>
        </w:rPr>
        <w:t>4</w:t>
      </w:r>
      <w:r>
        <w:rPr>
          <w:rFonts w:hint="eastAsia" w:ascii="方正仿宋_GBK" w:hAnsi="方正仿宋_GBK" w:eastAsia="方正仿宋_GBK" w:cs="方正仿宋_GBK"/>
          <w:sz w:val="28"/>
          <w:szCs w:val="28"/>
          <w:highlight w:val="none"/>
        </w:rPr>
        <w:t>年</w:t>
      </w:r>
      <w:r>
        <w:rPr>
          <w:rFonts w:hint="eastAsia" w:ascii="方正仿宋_GBK" w:hAnsi="方正仿宋_GBK" w:eastAsia="方正仿宋_GBK" w:cs="方正仿宋_GBK"/>
          <w:sz w:val="28"/>
          <w:szCs w:val="28"/>
          <w:highlight w:val="none"/>
          <w:u w:val="single"/>
          <w:lang w:val="en-US" w:eastAsia="zh-CN"/>
        </w:rPr>
        <w:t>11</w:t>
      </w:r>
      <w:r>
        <w:rPr>
          <w:rFonts w:hint="eastAsia" w:ascii="方正仿宋_GBK" w:hAnsi="方正仿宋_GBK" w:eastAsia="方正仿宋_GBK" w:cs="方正仿宋_GBK"/>
          <w:sz w:val="28"/>
          <w:szCs w:val="28"/>
          <w:highlight w:val="none"/>
        </w:rPr>
        <w:t>月</w:t>
      </w:r>
      <w:r>
        <w:rPr>
          <w:rFonts w:hint="eastAsia" w:ascii="方正仿宋_GBK" w:hAnsi="方正仿宋_GBK" w:eastAsia="方正仿宋_GBK" w:cs="方正仿宋_GBK"/>
          <w:sz w:val="28"/>
          <w:szCs w:val="28"/>
          <w:highlight w:val="none"/>
          <w:lang w:val="en-US" w:eastAsia="zh-CN"/>
        </w:rPr>
        <w:t>01</w:t>
      </w:r>
      <w:r>
        <w:rPr>
          <w:rFonts w:hint="eastAsia" w:ascii="方正仿宋_GBK" w:hAnsi="方正仿宋_GBK" w:eastAsia="方正仿宋_GBK" w:cs="方正仿宋_GBK"/>
          <w:sz w:val="28"/>
          <w:szCs w:val="28"/>
          <w:highlight w:val="none"/>
        </w:rPr>
        <w:t>日</w:t>
      </w:r>
      <w:r>
        <w:rPr>
          <w:rFonts w:hint="eastAsia" w:ascii="方正仿宋_GBK" w:hAnsi="方正仿宋_GBK" w:eastAsia="方正仿宋_GBK" w:cs="方正仿宋_GBK"/>
          <w:sz w:val="28"/>
          <w:szCs w:val="28"/>
          <w:highlight w:val="none"/>
          <w:lang w:val="en-US" w:eastAsia="zh-CN"/>
        </w:rPr>
        <w:t xml:space="preserve">09:30  </w:t>
      </w:r>
      <w:r>
        <w:rPr>
          <w:rFonts w:hint="eastAsia" w:ascii="方正仿宋_GBK" w:hAnsi="方正仿宋_GBK" w:eastAsia="方正仿宋_GBK" w:cs="方正仿宋_GBK"/>
          <w:sz w:val="28"/>
          <w:szCs w:val="28"/>
          <w:highlight w:val="none"/>
        </w:rPr>
        <w:t>至202</w:t>
      </w:r>
      <w:r>
        <w:rPr>
          <w:rFonts w:hint="eastAsia" w:ascii="方正仿宋_GBK" w:hAnsi="方正仿宋_GBK" w:eastAsia="方正仿宋_GBK" w:cs="方正仿宋_GBK"/>
          <w:sz w:val="28"/>
          <w:szCs w:val="28"/>
          <w:highlight w:val="none"/>
          <w:lang w:val="en-US" w:eastAsia="zh-CN"/>
        </w:rPr>
        <w:t>4</w:t>
      </w:r>
      <w:r>
        <w:rPr>
          <w:rFonts w:hint="eastAsia" w:ascii="方正仿宋_GBK" w:hAnsi="方正仿宋_GBK" w:eastAsia="方正仿宋_GBK" w:cs="方正仿宋_GBK"/>
          <w:sz w:val="28"/>
          <w:szCs w:val="28"/>
          <w:highlight w:val="none"/>
        </w:rPr>
        <w:t>年</w:t>
      </w:r>
      <w:r>
        <w:rPr>
          <w:rFonts w:hint="eastAsia" w:ascii="方正仿宋_GBK" w:hAnsi="方正仿宋_GBK" w:eastAsia="方正仿宋_GBK" w:cs="方正仿宋_GBK"/>
          <w:sz w:val="28"/>
          <w:szCs w:val="28"/>
          <w:highlight w:val="none"/>
          <w:u w:val="single"/>
          <w:lang w:val="en-US" w:eastAsia="zh-CN"/>
        </w:rPr>
        <w:t>11</w:t>
      </w:r>
      <w:r>
        <w:rPr>
          <w:rFonts w:hint="eastAsia" w:ascii="方正仿宋_GBK" w:hAnsi="方正仿宋_GBK" w:eastAsia="方正仿宋_GBK" w:cs="方正仿宋_GBK"/>
          <w:sz w:val="28"/>
          <w:szCs w:val="28"/>
          <w:highlight w:val="none"/>
        </w:rPr>
        <w:t>月</w:t>
      </w:r>
      <w:r>
        <w:rPr>
          <w:rFonts w:hint="eastAsia" w:ascii="方正仿宋_GBK" w:hAnsi="方正仿宋_GBK" w:eastAsia="方正仿宋_GBK" w:cs="方正仿宋_GBK"/>
          <w:sz w:val="28"/>
          <w:szCs w:val="28"/>
          <w:highlight w:val="none"/>
          <w:lang w:val="en-US" w:eastAsia="zh-CN"/>
        </w:rPr>
        <w:t>01</w:t>
      </w:r>
      <w:r>
        <w:rPr>
          <w:rFonts w:hint="eastAsia" w:ascii="方正仿宋_GBK" w:hAnsi="方正仿宋_GBK" w:eastAsia="方正仿宋_GBK" w:cs="方正仿宋_GBK"/>
          <w:sz w:val="28"/>
          <w:szCs w:val="28"/>
          <w:highlight w:val="none"/>
        </w:rPr>
        <w:t>日</w:t>
      </w:r>
      <w:r>
        <w:rPr>
          <w:rFonts w:hint="eastAsia" w:ascii="方正仿宋_GBK" w:hAnsi="方正仿宋_GBK" w:eastAsia="方正仿宋_GBK" w:cs="方正仿宋_GBK"/>
          <w:sz w:val="28"/>
          <w:szCs w:val="28"/>
          <w:highlight w:val="none"/>
          <w:u w:val="single"/>
          <w:lang w:val="en-US" w:eastAsia="zh-CN"/>
        </w:rPr>
        <w:t>10:00</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（北京时间</w:t>
      </w:r>
      <w:r>
        <w:rPr>
          <w:rFonts w:hint="eastAsia" w:ascii="方正仿宋_GBK" w:hAnsi="方正仿宋_GBK" w:eastAsia="方正仿宋_GBK" w:cs="方正仿宋_GBK"/>
          <w:sz w:val="28"/>
          <w:szCs w:val="28"/>
        </w:rPr>
        <w:t>）。</w:t>
      </w:r>
    </w:p>
    <w:p w14:paraId="4D5174E2">
      <w:pPr>
        <w:pStyle w:val="3"/>
        <w:rPr>
          <w:rFonts w:ascii="方正仿宋_GBK" w:hAnsi="方正仿宋_GBK"/>
          <w:sz w:val="28"/>
          <w:szCs w:val="28"/>
        </w:rPr>
      </w:pPr>
      <w:bookmarkStart w:id="49" w:name="_Toc18438"/>
      <w:bookmarkStart w:id="50" w:name="_Toc21810"/>
      <w:bookmarkStart w:id="51" w:name="_Toc2651"/>
      <w:bookmarkStart w:id="52" w:name="_Toc5721"/>
      <w:bookmarkStart w:id="53" w:name="_Toc5653"/>
      <w:r>
        <w:rPr>
          <w:rFonts w:hint="eastAsia" w:ascii="方正仿宋_GBK" w:hAnsi="方正仿宋_GBK"/>
          <w:sz w:val="28"/>
          <w:szCs w:val="28"/>
        </w:rPr>
        <w:t>十二、代理服务</w:t>
      </w:r>
      <w:bookmarkEnd w:id="49"/>
      <w:bookmarkEnd w:id="50"/>
      <w:bookmarkEnd w:id="51"/>
      <w:bookmarkEnd w:id="52"/>
      <w:bookmarkEnd w:id="53"/>
    </w:p>
    <w:p w14:paraId="30F4809A">
      <w:pPr>
        <w:widowControl/>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代理服务费</w:t>
      </w:r>
      <w:r>
        <w:rPr>
          <w:rFonts w:hint="eastAsia" w:ascii="方正仿宋_GBK" w:hAnsi="方正仿宋_GBK" w:eastAsia="方正仿宋_GBK" w:cs="方正仿宋_GBK"/>
          <w:bCs/>
          <w:sz w:val="28"/>
          <w:szCs w:val="28"/>
          <w:u w:val="single"/>
          <w:lang w:val="en-US" w:eastAsia="zh-CN"/>
        </w:rPr>
        <w:t>600</w:t>
      </w:r>
      <w:r>
        <w:rPr>
          <w:rFonts w:hint="eastAsia" w:ascii="方正仿宋_GBK" w:hAnsi="方正仿宋_GBK" w:eastAsia="方正仿宋_GBK" w:cs="方正仿宋_GBK"/>
          <w:bCs/>
          <w:sz w:val="28"/>
          <w:szCs w:val="28"/>
          <w:u w:val="single"/>
        </w:rPr>
        <w:t>0.00</w:t>
      </w:r>
      <w:r>
        <w:rPr>
          <w:rFonts w:hint="eastAsia" w:ascii="方正仿宋_GBK" w:hAnsi="方正仿宋_GBK" w:eastAsia="方正仿宋_GBK" w:cs="方正仿宋_GBK"/>
          <w:bCs/>
          <w:sz w:val="28"/>
          <w:szCs w:val="28"/>
        </w:rPr>
        <w:t>元（大写：</w:t>
      </w:r>
      <w:r>
        <w:rPr>
          <w:rFonts w:hint="eastAsia" w:ascii="方正仿宋_GBK" w:hAnsi="方正仿宋_GBK" w:eastAsia="方正仿宋_GBK" w:cs="方正仿宋_GBK"/>
          <w:bCs/>
          <w:sz w:val="28"/>
          <w:szCs w:val="28"/>
          <w:u w:val="single"/>
          <w:lang w:eastAsia="zh-CN"/>
        </w:rPr>
        <w:t>陆仟</w:t>
      </w:r>
      <w:r>
        <w:rPr>
          <w:rFonts w:hint="eastAsia" w:ascii="方正仿宋_GBK" w:hAnsi="方正仿宋_GBK" w:eastAsia="方正仿宋_GBK" w:cs="方正仿宋_GBK"/>
          <w:bCs/>
          <w:sz w:val="28"/>
          <w:szCs w:val="28"/>
          <w:u w:val="single"/>
        </w:rPr>
        <w:t>元整</w:t>
      </w:r>
      <w:r>
        <w:rPr>
          <w:rFonts w:hint="eastAsia" w:ascii="方正仿宋_GBK" w:hAnsi="方正仿宋_GBK" w:eastAsia="方正仿宋_GBK" w:cs="方正仿宋_GBK"/>
          <w:bCs/>
          <w:sz w:val="28"/>
          <w:szCs w:val="28"/>
        </w:rPr>
        <w:t>），由</w:t>
      </w:r>
      <w:r>
        <w:rPr>
          <w:rFonts w:hint="eastAsia" w:ascii="方正仿宋_GBK" w:hAnsi="方正仿宋_GBK" w:eastAsia="方正仿宋_GBK" w:cs="方正仿宋_GBK"/>
          <w:bCs/>
          <w:color w:val="000000"/>
          <w:sz w:val="28"/>
          <w:szCs w:val="28"/>
          <w:u w:val="single"/>
          <w:lang w:eastAsia="zh-CN"/>
        </w:rPr>
        <w:t>成交供应商</w:t>
      </w:r>
      <w:r>
        <w:rPr>
          <w:rFonts w:hint="eastAsia" w:ascii="方正仿宋_GBK" w:hAnsi="方正仿宋_GBK" w:eastAsia="方正仿宋_GBK" w:cs="方正仿宋_GBK"/>
          <w:bCs/>
          <w:sz w:val="28"/>
          <w:szCs w:val="28"/>
        </w:rPr>
        <w:t>向代理公司支付。</w:t>
      </w:r>
    </w:p>
    <w:p w14:paraId="69846493">
      <w:pPr>
        <w:pStyle w:val="3"/>
        <w:rPr>
          <w:rFonts w:ascii="方正仿宋_GBK" w:hAnsi="方正仿宋_GBK"/>
          <w:sz w:val="28"/>
          <w:szCs w:val="28"/>
        </w:rPr>
      </w:pPr>
      <w:bookmarkStart w:id="54" w:name="_Toc5861"/>
      <w:bookmarkStart w:id="55" w:name="_Toc10475"/>
      <w:bookmarkStart w:id="56" w:name="_Toc10747"/>
      <w:r>
        <w:rPr>
          <w:rFonts w:hint="eastAsia" w:ascii="方正仿宋_GBK" w:hAnsi="方正仿宋_GBK"/>
          <w:sz w:val="28"/>
          <w:szCs w:val="28"/>
        </w:rPr>
        <w:t>十三、联系方式</w:t>
      </w:r>
      <w:bookmarkEnd w:id="54"/>
      <w:bookmarkEnd w:id="55"/>
      <w:bookmarkEnd w:id="56"/>
    </w:p>
    <w:p w14:paraId="1949EAE6">
      <w:pPr>
        <w:widowControl/>
        <w:spacing w:line="360" w:lineRule="auto"/>
        <w:ind w:firstLine="560" w:firstLineChars="200"/>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采 购 人：</w:t>
      </w:r>
      <w:r>
        <w:rPr>
          <w:rFonts w:hint="eastAsia" w:ascii="方正仿宋_GBK" w:hAnsi="方正仿宋_GBK" w:eastAsia="方正仿宋_GBK" w:cs="方正仿宋_GBK"/>
          <w:sz w:val="28"/>
          <w:szCs w:val="28"/>
          <w:u w:val="none"/>
          <w:lang w:val="en-US" w:eastAsia="zh-CN"/>
        </w:rPr>
        <w:t>巴中市文化广播电视体育和旅游局</w:t>
      </w:r>
      <w:r>
        <w:rPr>
          <w:rFonts w:hint="eastAsia" w:ascii="方正仿宋_GBK" w:hAnsi="方正仿宋_GBK" w:eastAsia="方正仿宋_GBK" w:cs="方正仿宋_GBK"/>
          <w:bCs/>
          <w:color w:val="000000" w:themeColor="text1"/>
          <w:sz w:val="28"/>
          <w:szCs w:val="28"/>
          <w14:textFill>
            <w14:solidFill>
              <w14:schemeClr w14:val="tx1"/>
            </w14:solidFill>
          </w14:textFill>
        </w:rPr>
        <w:t>；</w:t>
      </w:r>
    </w:p>
    <w:p w14:paraId="6F80F661">
      <w:pPr>
        <w:widowControl/>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联 系 人：</w:t>
      </w:r>
      <w:r>
        <w:rPr>
          <w:rFonts w:hint="eastAsia" w:ascii="方正仿宋_GBK" w:hAnsi="方正仿宋_GBK" w:eastAsia="方正仿宋_GBK" w:cs="方正仿宋_GBK"/>
          <w:bCs/>
          <w:sz w:val="28"/>
          <w:szCs w:val="28"/>
          <w:lang w:eastAsia="zh-CN"/>
        </w:rPr>
        <w:t>马老师</w:t>
      </w:r>
      <w:r>
        <w:rPr>
          <w:rFonts w:hint="eastAsia" w:ascii="方正仿宋_GBK" w:hAnsi="方正仿宋_GBK" w:eastAsia="方正仿宋_GBK" w:cs="方正仿宋_GBK"/>
          <w:bCs/>
          <w:sz w:val="28"/>
          <w:szCs w:val="28"/>
        </w:rPr>
        <w:t>；</w:t>
      </w:r>
    </w:p>
    <w:p w14:paraId="1602DE88">
      <w:pPr>
        <w:widowControl/>
        <w:spacing w:line="360" w:lineRule="auto"/>
        <w:ind w:firstLine="560" w:firstLineChars="200"/>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rPr>
        <w:t>联系电话</w:t>
      </w:r>
      <w:r>
        <w:rPr>
          <w:rFonts w:hint="eastAsia" w:ascii="方正仿宋_GBK" w:hAnsi="方正仿宋_GBK" w:eastAsia="方正仿宋_GBK" w:cs="方正仿宋_GBK"/>
          <w:bCs/>
          <w:sz w:val="28"/>
          <w:szCs w:val="28"/>
          <w:lang w:eastAsia="zh-CN"/>
        </w:rPr>
        <w:t>：</w:t>
      </w:r>
      <w:r>
        <w:rPr>
          <w:rFonts w:hint="eastAsia" w:ascii="方正仿宋_GBK" w:hAnsi="方正仿宋_GBK" w:eastAsia="方正仿宋_GBK" w:cs="方正仿宋_GBK"/>
          <w:bCs/>
          <w:sz w:val="28"/>
          <w:szCs w:val="28"/>
          <w:lang w:val="en-US" w:eastAsia="zh-CN"/>
        </w:rPr>
        <w:t>13350231999</w:t>
      </w:r>
    </w:p>
    <w:p w14:paraId="680DD520">
      <w:pPr>
        <w:widowControl/>
        <w:spacing w:line="360" w:lineRule="auto"/>
        <w:ind w:firstLine="560" w:firstLineChars="200"/>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采购代理机构：四川振嘉工程招标代理有限公司；</w:t>
      </w:r>
    </w:p>
    <w:p w14:paraId="64BC4449">
      <w:pPr>
        <w:widowControl/>
        <w:spacing w:line="360" w:lineRule="auto"/>
        <w:ind w:firstLine="560" w:firstLineChars="200"/>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联 系 人：</w:t>
      </w:r>
      <w:r>
        <w:rPr>
          <w:rFonts w:hint="eastAsia" w:ascii="方正仿宋_GBK" w:hAnsi="方正仿宋_GBK" w:eastAsia="方正仿宋_GBK" w:cs="方正仿宋_GBK"/>
          <w:bCs/>
          <w:color w:val="000000" w:themeColor="text1"/>
          <w:sz w:val="28"/>
          <w:szCs w:val="28"/>
          <w:lang w:eastAsia="zh-CN"/>
          <w14:textFill>
            <w14:solidFill>
              <w14:schemeClr w14:val="tx1"/>
            </w14:solidFill>
          </w14:textFill>
        </w:rPr>
        <w:t>白</w:t>
      </w:r>
      <w:r>
        <w:rPr>
          <w:rFonts w:hint="eastAsia" w:ascii="方正仿宋_GBK" w:hAnsi="方正仿宋_GBK" w:eastAsia="方正仿宋_GBK" w:cs="方正仿宋_GBK"/>
          <w:bCs/>
          <w:color w:val="000000" w:themeColor="text1"/>
          <w:sz w:val="28"/>
          <w:szCs w:val="28"/>
          <w14:textFill>
            <w14:solidFill>
              <w14:schemeClr w14:val="tx1"/>
            </w14:solidFill>
          </w14:textFill>
        </w:rPr>
        <w:t>老师；</w:t>
      </w:r>
    </w:p>
    <w:p w14:paraId="6C278282">
      <w:pPr>
        <w:widowControl/>
        <w:spacing w:line="360" w:lineRule="auto"/>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color w:val="000000" w:themeColor="text1"/>
          <w:sz w:val="28"/>
          <w:szCs w:val="28"/>
          <w14:textFill>
            <w14:solidFill>
              <w14:schemeClr w14:val="tx1"/>
            </w14:solidFill>
          </w14:textFill>
        </w:rPr>
        <w:t>联系电话：0827-8668888</w:t>
      </w:r>
    </w:p>
    <w:p w14:paraId="7AC11F69">
      <w:pPr>
        <w:pStyle w:val="3"/>
        <w:spacing w:line="360" w:lineRule="auto"/>
        <w:rPr>
          <w:rFonts w:ascii="方正仿宋_GBK" w:hAnsi="方正仿宋_GBK"/>
          <w:sz w:val="28"/>
          <w:szCs w:val="28"/>
        </w:rPr>
      </w:pPr>
      <w:bookmarkStart w:id="57" w:name="_Toc26219"/>
      <w:bookmarkStart w:id="58" w:name="_Toc689"/>
      <w:bookmarkStart w:id="59" w:name="_Toc669"/>
      <w:bookmarkStart w:id="60" w:name="_Toc11731"/>
      <w:bookmarkStart w:id="61" w:name="_Toc20873"/>
      <w:bookmarkStart w:id="62" w:name="_Toc7538"/>
      <w:r>
        <w:rPr>
          <w:rFonts w:hint="eastAsia" w:ascii="方正仿宋_GBK" w:hAnsi="方正仿宋_GBK"/>
          <w:sz w:val="28"/>
          <w:szCs w:val="28"/>
        </w:rPr>
        <w:t>十四、询问、质疑</w:t>
      </w:r>
      <w:bookmarkEnd w:id="57"/>
      <w:bookmarkEnd w:id="58"/>
      <w:bookmarkEnd w:id="59"/>
      <w:bookmarkEnd w:id="60"/>
      <w:bookmarkEnd w:id="61"/>
      <w:bookmarkEnd w:id="62"/>
    </w:p>
    <w:p w14:paraId="6F2274DE">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1、关于采购需求方面（即采购文件资格要求和技术、服务要求、商务要求及评分标准）的询问、质疑由采购人负责答复，</w:t>
      </w:r>
    </w:p>
    <w:p w14:paraId="26F6E7AA">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提出质疑时间：报名成功并获取采购文件之日起七个工作日内或采购文件公告期限届满之日起七个工作日内。</w:t>
      </w:r>
    </w:p>
    <w:p w14:paraId="1C7EFD47">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递交地址：</w:t>
      </w:r>
      <w:r>
        <w:rPr>
          <w:rFonts w:hint="eastAsia" w:ascii="方正仿宋_GBK" w:hAnsi="方正仿宋_GBK" w:eastAsia="方正仿宋_GBK" w:cs="方正仿宋_GBK"/>
          <w:sz w:val="28"/>
          <w:szCs w:val="28"/>
          <w:u w:val="none"/>
          <w:lang w:val="en-US" w:eastAsia="zh-CN"/>
        </w:rPr>
        <w:t>巴中市文化广播电视体育和旅游局</w:t>
      </w:r>
      <w:r>
        <w:rPr>
          <w:rFonts w:hint="eastAsia" w:ascii="方正仿宋_GBK" w:hAnsi="方正仿宋_GBK" w:eastAsia="方正仿宋_GBK" w:cs="方正仿宋_GBK"/>
          <w:bCs/>
          <w:sz w:val="28"/>
          <w:szCs w:val="28"/>
        </w:rPr>
        <w:t>；</w:t>
      </w:r>
    </w:p>
    <w:p w14:paraId="220171D7">
      <w:pPr>
        <w:widowControl/>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联 系 人：</w:t>
      </w:r>
      <w:r>
        <w:rPr>
          <w:rFonts w:hint="eastAsia" w:ascii="方正仿宋_GBK" w:hAnsi="方正仿宋_GBK" w:eastAsia="方正仿宋_GBK" w:cs="方正仿宋_GBK"/>
          <w:bCs/>
          <w:sz w:val="28"/>
          <w:szCs w:val="28"/>
          <w:lang w:eastAsia="zh-CN"/>
        </w:rPr>
        <w:t>马老师</w:t>
      </w:r>
      <w:r>
        <w:rPr>
          <w:rFonts w:hint="eastAsia" w:ascii="方正仿宋_GBK" w:hAnsi="方正仿宋_GBK" w:eastAsia="方正仿宋_GBK" w:cs="方正仿宋_GBK"/>
          <w:bCs/>
          <w:sz w:val="28"/>
          <w:szCs w:val="28"/>
        </w:rPr>
        <w:t>；</w:t>
      </w:r>
    </w:p>
    <w:p w14:paraId="71380A70">
      <w:pPr>
        <w:widowControl/>
        <w:spacing w:line="360" w:lineRule="auto"/>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联系电话</w:t>
      </w:r>
      <w:r>
        <w:rPr>
          <w:rFonts w:hint="eastAsia" w:ascii="方正仿宋_GBK" w:hAnsi="方正仿宋_GBK" w:eastAsia="方正仿宋_GBK" w:cs="方正仿宋_GBK"/>
          <w:bCs/>
          <w:sz w:val="28"/>
          <w:szCs w:val="28"/>
          <w:lang w:eastAsia="zh-CN"/>
        </w:rPr>
        <w:t>：</w:t>
      </w:r>
      <w:r>
        <w:rPr>
          <w:rFonts w:hint="eastAsia" w:ascii="方正仿宋_GBK" w:hAnsi="方正仿宋_GBK" w:eastAsia="方正仿宋_GBK" w:cs="方正仿宋_GBK"/>
          <w:bCs/>
          <w:sz w:val="28"/>
          <w:szCs w:val="28"/>
          <w:lang w:val="en-US" w:eastAsia="zh-CN"/>
        </w:rPr>
        <w:t>13350231999</w:t>
      </w:r>
    </w:p>
    <w:p w14:paraId="48B61430">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2、其他方面的询问、质疑由四川振嘉工程招标代理有限公司负责接收和处理。</w:t>
      </w:r>
    </w:p>
    <w:p w14:paraId="520E90B6">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对采购过程提出质疑时间：为各采购程序环节结束之日起七个工作日内。</w:t>
      </w:r>
    </w:p>
    <w:p w14:paraId="68FDD957">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对采购结果提出质疑时间：为结果公告发布次日后七个工作日内。</w:t>
      </w:r>
    </w:p>
    <w:p w14:paraId="0F984E8A">
      <w:pPr>
        <w:widowControl/>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联系人及联系电话：</w:t>
      </w:r>
      <w:r>
        <w:rPr>
          <w:rFonts w:hint="eastAsia" w:ascii="方正仿宋_GBK" w:hAnsi="方正仿宋_GBK" w:eastAsia="方正仿宋_GBK" w:cs="方正仿宋_GBK"/>
          <w:bCs/>
          <w:sz w:val="28"/>
          <w:szCs w:val="28"/>
          <w:lang w:val="en-US" w:eastAsia="zh-CN"/>
        </w:rPr>
        <w:t>白</w:t>
      </w:r>
      <w:r>
        <w:rPr>
          <w:rFonts w:hint="eastAsia" w:ascii="方正仿宋_GBK" w:hAnsi="方正仿宋_GBK" w:eastAsia="方正仿宋_GBK" w:cs="方正仿宋_GBK"/>
          <w:bCs/>
          <w:sz w:val="28"/>
          <w:szCs w:val="28"/>
        </w:rPr>
        <w:t>老师、0827-8668888。</w:t>
      </w:r>
    </w:p>
    <w:p w14:paraId="7044139B">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注：供应商质疑必须采用书面形式。</w:t>
      </w:r>
    </w:p>
    <w:p w14:paraId="5473BF6D">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根据《中华人民共和国政府采购法》的规定，供应商质疑不得超出采购文件、采购过程、采购结果的范围。</w:t>
      </w:r>
    </w:p>
    <w:p w14:paraId="00F451C0">
      <w:pPr>
        <w:pStyle w:val="3"/>
        <w:spacing w:line="360" w:lineRule="auto"/>
        <w:rPr>
          <w:rFonts w:ascii="方正仿宋_GBK" w:hAnsi="方正仿宋_GBK"/>
          <w:sz w:val="28"/>
          <w:szCs w:val="28"/>
        </w:rPr>
      </w:pPr>
      <w:bookmarkStart w:id="63" w:name="_Toc18960"/>
      <w:bookmarkStart w:id="64" w:name="_Toc17363"/>
      <w:bookmarkStart w:id="65" w:name="_Toc19621"/>
      <w:bookmarkStart w:id="66" w:name="_Toc27803"/>
      <w:bookmarkStart w:id="67" w:name="_Toc20537"/>
      <w:bookmarkStart w:id="68" w:name="_Toc17989"/>
      <w:r>
        <w:rPr>
          <w:rFonts w:hint="eastAsia" w:ascii="方正仿宋_GBK" w:hAnsi="方正仿宋_GBK"/>
          <w:sz w:val="28"/>
          <w:szCs w:val="28"/>
        </w:rPr>
        <w:t>十五、竞争性磋商保证金及履约保证金</w:t>
      </w:r>
      <w:bookmarkEnd w:id="63"/>
      <w:bookmarkEnd w:id="64"/>
      <w:bookmarkEnd w:id="65"/>
      <w:bookmarkEnd w:id="66"/>
      <w:bookmarkEnd w:id="67"/>
      <w:bookmarkEnd w:id="68"/>
    </w:p>
    <w:p w14:paraId="11E79C42">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15.1、竞争性磋商保证金：</w:t>
      </w:r>
    </w:p>
    <w:p w14:paraId="02BEFAB2">
      <w:pPr>
        <w:spacing w:line="360" w:lineRule="auto"/>
        <w:ind w:firstLine="840" w:firstLineChars="3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本项目不收取竞争性磋商保证金。</w:t>
      </w:r>
    </w:p>
    <w:p w14:paraId="2CCF16E4">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15.2、履约保证金：</w:t>
      </w:r>
    </w:p>
    <w:p w14:paraId="41AFC086">
      <w:pPr>
        <w:spacing w:line="360" w:lineRule="auto"/>
        <w:ind w:firstLine="840" w:firstLineChars="300"/>
        <w:rPr>
          <w:rFonts w:hint="eastAsia" w:ascii="方正仿宋_GBK" w:hAnsi="方正仿宋_GBK" w:eastAsia="方正仿宋_GBK" w:cs="方正仿宋_GBK"/>
          <w:sz w:val="28"/>
          <w:szCs w:val="28"/>
        </w:rPr>
      </w:pPr>
      <w:bookmarkStart w:id="69" w:name="_Toc2065"/>
      <w:bookmarkStart w:id="70" w:name="_Toc297"/>
      <w:r>
        <w:rPr>
          <w:rFonts w:hint="eastAsia" w:ascii="方正仿宋_GBK" w:hAnsi="方正仿宋_GBK" w:eastAsia="方正仿宋_GBK" w:cs="方正仿宋_GBK"/>
          <w:sz w:val="28"/>
          <w:szCs w:val="28"/>
        </w:rPr>
        <w:t>本项目不收取竞争性磋商保证金。</w:t>
      </w:r>
      <w:bookmarkEnd w:id="69"/>
      <w:bookmarkEnd w:id="70"/>
    </w:p>
    <w:p w14:paraId="3BD79DEB">
      <w:pPr>
        <w:pStyle w:val="3"/>
        <w:spacing w:line="360" w:lineRule="auto"/>
        <w:rPr>
          <w:rFonts w:ascii="方正仿宋_GBK" w:hAnsi="方正仿宋_GBK"/>
          <w:sz w:val="28"/>
          <w:szCs w:val="28"/>
        </w:rPr>
      </w:pPr>
      <w:bookmarkStart w:id="71" w:name="_Toc10366"/>
      <w:r>
        <w:rPr>
          <w:rFonts w:hint="eastAsia" w:ascii="方正仿宋_GBK" w:hAnsi="方正仿宋_GBK"/>
          <w:sz w:val="28"/>
          <w:szCs w:val="28"/>
          <w:lang w:eastAsia="zh-CN"/>
        </w:rPr>
        <w:t>十六、</w:t>
      </w:r>
      <w:r>
        <w:rPr>
          <w:rFonts w:hint="eastAsia" w:ascii="方正仿宋_GBK" w:hAnsi="方正仿宋_GBK"/>
          <w:sz w:val="28"/>
          <w:szCs w:val="28"/>
        </w:rPr>
        <w:t>合同草案</w:t>
      </w:r>
      <w:bookmarkEnd w:id="71"/>
    </w:p>
    <w:p w14:paraId="21350F2D">
      <w:pPr>
        <w:pageBreakBefore w:val="0"/>
        <w:kinsoku/>
        <w:wordWrap/>
        <w:overflowPunct/>
        <w:topLinePunct w:val="0"/>
        <w:autoSpaceDE/>
        <w:autoSpaceDN/>
        <w:bidi w:val="0"/>
        <w:adjustRightInd/>
        <w:snapToGrid/>
        <w:spacing w:beforeAutospacing="0" w:afterAutospacing="0" w:line="360" w:lineRule="auto"/>
        <w:ind w:firstLine="560" w:firstLineChars="200"/>
        <w:rPr>
          <w:rFonts w:hint="eastAsia" w:ascii="方正仿宋_GBK" w:hAnsi="方正仿宋_GBK" w:eastAsia="方正仿宋_GBK" w:cs="方正仿宋_GBK"/>
          <w:color w:val="auto"/>
          <w:sz w:val="28"/>
          <w:lang w:eastAsia="zh-CN"/>
        </w:rPr>
      </w:pPr>
      <w:r>
        <w:rPr>
          <w:rFonts w:hint="eastAsia" w:ascii="方正仿宋_GBK" w:hAnsi="方正仿宋_GBK" w:eastAsia="方正仿宋_GBK" w:cs="方正仿宋_GBK"/>
          <w:color w:val="auto"/>
          <w:sz w:val="28"/>
        </w:rPr>
        <w:t>签订地点：</w:t>
      </w:r>
    </w:p>
    <w:p w14:paraId="2A219BF7">
      <w:pPr>
        <w:pageBreakBefore w:val="0"/>
        <w:kinsoku/>
        <w:wordWrap/>
        <w:overflowPunct/>
        <w:topLinePunct w:val="0"/>
        <w:autoSpaceDE/>
        <w:autoSpaceDN/>
        <w:bidi w:val="0"/>
        <w:adjustRightInd/>
        <w:snapToGrid/>
        <w:spacing w:beforeAutospacing="0" w:afterAutospacing="0" w:line="360" w:lineRule="auto"/>
        <w:ind w:firstLine="560" w:firstLineChars="200"/>
        <w:rPr>
          <w:rFonts w:hint="eastAsia" w:ascii="方正仿宋_GBK" w:hAnsi="方正仿宋_GBK" w:eastAsia="方正仿宋_GBK" w:cs="方正仿宋_GBK"/>
          <w:color w:val="auto"/>
          <w:sz w:val="28"/>
        </w:rPr>
      </w:pPr>
      <w:r>
        <w:rPr>
          <w:rFonts w:hint="eastAsia" w:ascii="方正仿宋_GBK" w:hAnsi="方正仿宋_GBK" w:eastAsia="方正仿宋_GBK" w:cs="方正仿宋_GBK"/>
          <w:color w:val="auto"/>
          <w:sz w:val="28"/>
        </w:rPr>
        <w:t>签订时间：</w:t>
      </w:r>
      <w:r>
        <w:rPr>
          <w:rFonts w:hint="eastAsia" w:ascii="方正仿宋_GBK" w:hAnsi="方正仿宋_GBK" w:eastAsia="方正仿宋_GBK" w:cs="方正仿宋_GBK"/>
          <w:color w:val="auto"/>
          <w:sz w:val="28"/>
          <w:szCs w:val="21"/>
          <w:lang w:val="en-US" w:eastAsia="zh-CN"/>
        </w:rPr>
        <w:t xml:space="preserve">   </w:t>
      </w:r>
      <w:r>
        <w:rPr>
          <w:rFonts w:hint="eastAsia" w:ascii="方正仿宋_GBK" w:hAnsi="方正仿宋_GBK" w:eastAsia="方正仿宋_GBK" w:cs="方正仿宋_GBK"/>
          <w:color w:val="auto"/>
          <w:sz w:val="28"/>
        </w:rPr>
        <w:t>年</w:t>
      </w:r>
      <w:r>
        <w:rPr>
          <w:rFonts w:hint="eastAsia" w:ascii="方正仿宋_GBK" w:hAnsi="方正仿宋_GBK" w:eastAsia="方正仿宋_GBK" w:cs="方正仿宋_GBK"/>
          <w:color w:val="auto"/>
          <w:sz w:val="28"/>
          <w:szCs w:val="21"/>
          <w:lang w:val="en-US" w:eastAsia="zh-CN"/>
        </w:rPr>
        <w:t xml:space="preserve">   </w:t>
      </w:r>
      <w:r>
        <w:rPr>
          <w:rFonts w:hint="eastAsia" w:ascii="方正仿宋_GBK" w:hAnsi="方正仿宋_GBK" w:eastAsia="方正仿宋_GBK" w:cs="方正仿宋_GBK"/>
          <w:color w:val="auto"/>
          <w:sz w:val="28"/>
        </w:rPr>
        <w:t>月</w:t>
      </w:r>
      <w:r>
        <w:rPr>
          <w:rFonts w:hint="eastAsia" w:ascii="方正仿宋_GBK" w:hAnsi="方正仿宋_GBK" w:eastAsia="方正仿宋_GBK" w:cs="方正仿宋_GBK"/>
          <w:color w:val="auto"/>
          <w:sz w:val="28"/>
          <w:szCs w:val="21"/>
          <w:lang w:val="en-US" w:eastAsia="zh-CN"/>
        </w:rPr>
        <w:t xml:space="preserve">   </w:t>
      </w:r>
      <w:r>
        <w:rPr>
          <w:rFonts w:hint="eastAsia" w:ascii="方正仿宋_GBK" w:hAnsi="方正仿宋_GBK" w:eastAsia="方正仿宋_GBK" w:cs="方正仿宋_GBK"/>
          <w:color w:val="auto"/>
          <w:sz w:val="28"/>
        </w:rPr>
        <w:t>日</w:t>
      </w:r>
    </w:p>
    <w:p w14:paraId="6756373D">
      <w:pPr>
        <w:pageBreakBefore w:val="0"/>
        <w:kinsoku/>
        <w:wordWrap/>
        <w:overflowPunct/>
        <w:topLinePunct w:val="0"/>
        <w:autoSpaceDE/>
        <w:autoSpaceDN/>
        <w:bidi w:val="0"/>
        <w:adjustRightInd/>
        <w:snapToGrid/>
        <w:spacing w:beforeAutospacing="0" w:afterAutospacing="0" w:line="360" w:lineRule="auto"/>
        <w:ind w:firstLine="560" w:firstLineChars="200"/>
        <w:rPr>
          <w:rFonts w:hint="eastAsia" w:ascii="方正仿宋_GBK" w:hAnsi="方正仿宋_GBK" w:eastAsia="方正仿宋_GBK" w:cs="方正仿宋_GBK"/>
          <w:color w:val="auto"/>
          <w:sz w:val="28"/>
        </w:rPr>
      </w:pPr>
      <w:r>
        <w:rPr>
          <w:rFonts w:hint="eastAsia" w:ascii="方正仿宋_GBK" w:hAnsi="方正仿宋_GBK" w:eastAsia="方正仿宋_GBK" w:cs="方正仿宋_GBK"/>
          <w:color w:val="auto"/>
          <w:sz w:val="28"/>
        </w:rPr>
        <w:t>采购人（甲方）：</w:t>
      </w:r>
    </w:p>
    <w:p w14:paraId="656DB73A">
      <w:pPr>
        <w:pageBreakBefore w:val="0"/>
        <w:kinsoku/>
        <w:wordWrap/>
        <w:overflowPunct/>
        <w:topLinePunct w:val="0"/>
        <w:autoSpaceDE/>
        <w:autoSpaceDN/>
        <w:bidi w:val="0"/>
        <w:adjustRightInd/>
        <w:snapToGrid/>
        <w:spacing w:beforeAutospacing="0" w:afterAutospacing="0" w:line="360" w:lineRule="auto"/>
        <w:ind w:firstLine="560" w:firstLineChars="200"/>
        <w:rPr>
          <w:rFonts w:hint="eastAsia" w:ascii="方正仿宋_GBK" w:hAnsi="方正仿宋_GBK" w:eastAsia="方正仿宋_GBK" w:cs="方正仿宋_GBK"/>
          <w:color w:val="auto"/>
          <w:sz w:val="28"/>
        </w:rPr>
      </w:pPr>
      <w:r>
        <w:rPr>
          <w:rFonts w:hint="eastAsia" w:ascii="方正仿宋_GBK" w:hAnsi="方正仿宋_GBK" w:eastAsia="方正仿宋_GBK" w:cs="方正仿宋_GBK"/>
          <w:color w:val="auto"/>
          <w:sz w:val="28"/>
        </w:rPr>
        <w:t>供应商（乙方）：</w:t>
      </w:r>
    </w:p>
    <w:p w14:paraId="4C78BD3E">
      <w:pPr>
        <w:pageBreakBefore w:val="0"/>
        <w:kinsoku/>
        <w:wordWrap/>
        <w:overflowPunct/>
        <w:topLinePunct w:val="0"/>
        <w:autoSpaceDE/>
        <w:autoSpaceDN/>
        <w:bidi w:val="0"/>
        <w:adjustRightInd/>
        <w:snapToGrid/>
        <w:spacing w:beforeAutospacing="0" w:afterAutospacing="0" w:line="360" w:lineRule="auto"/>
        <w:ind w:firstLine="700" w:firstLineChars="250"/>
        <w:rPr>
          <w:rFonts w:hint="eastAsia" w:ascii="方正仿宋_GBK" w:hAnsi="方正仿宋_GBK" w:eastAsia="方正仿宋_GBK" w:cs="方正仿宋_GBK"/>
          <w:color w:val="auto"/>
          <w:sz w:val="28"/>
        </w:rPr>
      </w:pPr>
      <w:r>
        <w:rPr>
          <w:rFonts w:hint="eastAsia" w:ascii="方正仿宋_GBK" w:hAnsi="方正仿宋_GBK" w:eastAsia="方正仿宋_GBK" w:cs="方正仿宋_GBK"/>
          <w:color w:val="auto"/>
          <w:sz w:val="28"/>
        </w:rPr>
        <w:t>根据《中华人民共和国政府采购法》、《中华人民共和国合同法》及</w:t>
      </w:r>
      <w:r>
        <w:rPr>
          <w:rFonts w:hint="eastAsia" w:ascii="方正仿宋_GBK" w:hAnsi="方正仿宋_GBK" w:eastAsia="方正仿宋_GBK" w:cs="方正仿宋_GBK"/>
          <w:color w:val="auto"/>
          <w:sz w:val="28"/>
          <w:szCs w:val="21"/>
          <w:u w:val="single"/>
          <w:lang w:val="en-US" w:eastAsia="zh-CN"/>
        </w:rPr>
        <w:t xml:space="preserve">                 </w:t>
      </w:r>
      <w:r>
        <w:rPr>
          <w:rFonts w:hint="eastAsia" w:ascii="方正仿宋_GBK" w:hAnsi="方正仿宋_GBK" w:eastAsia="方正仿宋_GBK" w:cs="方正仿宋_GBK"/>
          <w:color w:val="auto"/>
          <w:sz w:val="28"/>
        </w:rPr>
        <w:t>采购项目（项目编号：</w:t>
      </w:r>
      <w:r>
        <w:rPr>
          <w:rFonts w:hint="eastAsia" w:ascii="方正仿宋_GBK" w:hAnsi="方正仿宋_GBK" w:eastAsia="方正仿宋_GBK" w:cs="方正仿宋_GBK"/>
          <w:color w:val="auto"/>
          <w:sz w:val="28"/>
          <w:szCs w:val="21"/>
          <w:u w:val="single"/>
          <w:lang w:val="en-US" w:eastAsia="zh-CN"/>
        </w:rPr>
        <w:t xml:space="preserve">       </w:t>
      </w:r>
      <w:r>
        <w:rPr>
          <w:rFonts w:hint="eastAsia" w:ascii="方正仿宋_GBK" w:hAnsi="方正仿宋_GBK" w:eastAsia="方正仿宋_GBK" w:cs="方正仿宋_GBK"/>
          <w:color w:val="auto"/>
          <w:sz w:val="28"/>
        </w:rPr>
        <w:t>的《</w:t>
      </w:r>
      <w:r>
        <w:rPr>
          <w:rFonts w:hint="eastAsia" w:ascii="方正仿宋_GBK" w:hAnsi="方正仿宋_GBK" w:eastAsia="方正仿宋_GBK" w:cs="方正仿宋_GBK"/>
          <w:color w:val="auto"/>
          <w:sz w:val="28"/>
          <w:lang w:eastAsia="zh-CN"/>
        </w:rPr>
        <w:t>采购文件</w:t>
      </w:r>
      <w:r>
        <w:rPr>
          <w:rFonts w:hint="eastAsia" w:ascii="方正仿宋_GBK" w:hAnsi="方正仿宋_GBK" w:eastAsia="方正仿宋_GBK" w:cs="方正仿宋_GBK"/>
          <w:color w:val="auto"/>
          <w:sz w:val="28"/>
        </w:rPr>
        <w:t>》、乙方的《</w:t>
      </w:r>
      <w:r>
        <w:rPr>
          <w:rFonts w:hint="eastAsia" w:ascii="方正仿宋_GBK" w:hAnsi="方正仿宋_GBK" w:eastAsia="方正仿宋_GBK" w:cs="方正仿宋_GBK"/>
          <w:color w:val="auto"/>
          <w:sz w:val="28"/>
          <w:lang w:eastAsia="zh-CN"/>
        </w:rPr>
        <w:t>响应文件</w:t>
      </w:r>
      <w:r>
        <w:rPr>
          <w:rFonts w:hint="eastAsia" w:ascii="方正仿宋_GBK" w:hAnsi="方正仿宋_GBK" w:eastAsia="方正仿宋_GBK" w:cs="方正仿宋_GBK"/>
          <w:color w:val="auto"/>
          <w:sz w:val="28"/>
        </w:rPr>
        <w:t>》及《</w:t>
      </w:r>
      <w:r>
        <w:rPr>
          <w:rFonts w:hint="eastAsia" w:ascii="方正仿宋_GBK" w:hAnsi="方正仿宋_GBK" w:eastAsia="方正仿宋_GBK" w:cs="方正仿宋_GBK"/>
          <w:color w:val="auto"/>
          <w:sz w:val="28"/>
          <w:lang w:eastAsia="zh-CN"/>
        </w:rPr>
        <w:t>成交通知书</w:t>
      </w:r>
      <w:r>
        <w:rPr>
          <w:rFonts w:hint="eastAsia" w:ascii="方正仿宋_GBK" w:hAnsi="方正仿宋_GBK" w:eastAsia="方正仿宋_GBK" w:cs="方正仿宋_GBK"/>
          <w:color w:val="auto"/>
          <w:sz w:val="28"/>
        </w:rPr>
        <w:t>》，甲、乙双方同意签订本合同。详细技术说明及其他有关合同项目的特定信息由合同附件予以说明，合同附件及本项目的</w:t>
      </w:r>
      <w:r>
        <w:rPr>
          <w:rFonts w:hint="eastAsia" w:ascii="方正仿宋_GBK" w:hAnsi="方正仿宋_GBK" w:eastAsia="方正仿宋_GBK" w:cs="方正仿宋_GBK"/>
          <w:color w:val="auto"/>
          <w:sz w:val="28"/>
          <w:lang w:eastAsia="zh-CN"/>
        </w:rPr>
        <w:t>采购文件</w:t>
      </w:r>
      <w:r>
        <w:rPr>
          <w:rFonts w:hint="eastAsia" w:ascii="方正仿宋_GBK" w:hAnsi="方正仿宋_GBK" w:eastAsia="方正仿宋_GBK" w:cs="方正仿宋_GBK"/>
          <w:color w:val="auto"/>
          <w:sz w:val="28"/>
        </w:rPr>
        <w:t>、</w:t>
      </w:r>
      <w:r>
        <w:rPr>
          <w:rFonts w:hint="eastAsia" w:ascii="方正仿宋_GBK" w:hAnsi="方正仿宋_GBK" w:eastAsia="方正仿宋_GBK" w:cs="方正仿宋_GBK"/>
          <w:color w:val="auto"/>
          <w:sz w:val="28"/>
          <w:lang w:eastAsia="zh-CN"/>
        </w:rPr>
        <w:t>响应文件</w:t>
      </w:r>
      <w:r>
        <w:rPr>
          <w:rFonts w:hint="eastAsia" w:ascii="方正仿宋_GBK" w:hAnsi="方正仿宋_GBK" w:eastAsia="方正仿宋_GBK" w:cs="方正仿宋_GBK"/>
          <w:color w:val="auto"/>
          <w:sz w:val="28"/>
        </w:rPr>
        <w:t>、《</w:t>
      </w:r>
      <w:r>
        <w:rPr>
          <w:rFonts w:hint="eastAsia" w:ascii="方正仿宋_GBK" w:hAnsi="方正仿宋_GBK" w:eastAsia="方正仿宋_GBK" w:cs="方正仿宋_GBK"/>
          <w:color w:val="auto"/>
          <w:sz w:val="28"/>
          <w:lang w:eastAsia="zh-CN"/>
        </w:rPr>
        <w:t>成交通知书</w:t>
      </w:r>
      <w:r>
        <w:rPr>
          <w:rFonts w:hint="eastAsia" w:ascii="方正仿宋_GBK" w:hAnsi="方正仿宋_GBK" w:eastAsia="方正仿宋_GBK" w:cs="方正仿宋_GBK"/>
          <w:color w:val="auto"/>
          <w:sz w:val="28"/>
        </w:rPr>
        <w:t>》等均为本合同不可分割的部分。双方同意共同遵守如下条款：</w:t>
      </w:r>
    </w:p>
    <w:p w14:paraId="19B3B3F1">
      <w:pPr>
        <w:pageBreakBefore w:val="0"/>
        <w:kinsoku/>
        <w:wordWrap/>
        <w:overflowPunct/>
        <w:topLinePunct w:val="0"/>
        <w:autoSpaceDE/>
        <w:autoSpaceDN/>
        <w:bidi w:val="0"/>
        <w:adjustRightInd/>
        <w:snapToGrid/>
        <w:spacing w:beforeAutospacing="0" w:afterAutospacing="0" w:line="360" w:lineRule="auto"/>
        <w:rPr>
          <w:rFonts w:hint="eastAsia" w:ascii="方正仿宋_GBK" w:hAnsi="方正仿宋_GBK" w:eastAsia="方正仿宋_GBK" w:cs="方正仿宋_GBK"/>
          <w:color w:val="auto"/>
          <w:sz w:val="28"/>
          <w:szCs w:val="28"/>
        </w:rPr>
      </w:pPr>
    </w:p>
    <w:p w14:paraId="74FC50C1">
      <w:pPr>
        <w:pageBreakBefore w:val="0"/>
        <w:kinsoku/>
        <w:wordWrap/>
        <w:overflowPunct/>
        <w:topLinePunct w:val="0"/>
        <w:autoSpaceDE/>
        <w:autoSpaceDN/>
        <w:bidi w:val="0"/>
        <w:adjustRightInd/>
        <w:snapToGrid/>
        <w:spacing w:beforeAutospacing="0" w:afterAutospacing="0" w:line="360" w:lineRule="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第一条：合同标的</w:t>
      </w:r>
    </w:p>
    <w:tbl>
      <w:tblPr>
        <w:tblStyle w:val="30"/>
        <w:tblW w:w="8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2649"/>
        <w:gridCol w:w="2660"/>
        <w:gridCol w:w="1466"/>
      </w:tblGrid>
      <w:tr w14:paraId="73023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8" w:hRule="atLeast"/>
          <w:jc w:val="center"/>
        </w:trPr>
        <w:tc>
          <w:tcPr>
            <w:tcW w:w="1549" w:type="dxa"/>
            <w:vAlign w:val="center"/>
          </w:tcPr>
          <w:p w14:paraId="2B7DBEDD">
            <w:pPr>
              <w:spacing w:line="360" w:lineRule="auto"/>
              <w:jc w:val="center"/>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序号</w:t>
            </w:r>
          </w:p>
        </w:tc>
        <w:tc>
          <w:tcPr>
            <w:tcW w:w="2649" w:type="dxa"/>
            <w:vAlign w:val="center"/>
          </w:tcPr>
          <w:p w14:paraId="4010C689">
            <w:pPr>
              <w:spacing w:line="360" w:lineRule="auto"/>
              <w:jc w:val="center"/>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采购内容</w:t>
            </w:r>
          </w:p>
        </w:tc>
        <w:tc>
          <w:tcPr>
            <w:tcW w:w="2660" w:type="dxa"/>
            <w:vAlign w:val="center"/>
          </w:tcPr>
          <w:p w14:paraId="75E6449C">
            <w:pPr>
              <w:spacing w:line="360" w:lineRule="auto"/>
              <w:jc w:val="center"/>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报价下浮率     %</w:t>
            </w:r>
          </w:p>
        </w:tc>
        <w:tc>
          <w:tcPr>
            <w:tcW w:w="1466" w:type="dxa"/>
            <w:vAlign w:val="center"/>
          </w:tcPr>
          <w:p w14:paraId="27EBD084">
            <w:pPr>
              <w:spacing w:line="360" w:lineRule="auto"/>
              <w:jc w:val="center"/>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备注</w:t>
            </w:r>
          </w:p>
        </w:tc>
      </w:tr>
      <w:tr w14:paraId="65B41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549" w:type="dxa"/>
            <w:vAlign w:val="center"/>
          </w:tcPr>
          <w:p w14:paraId="5FF8ED54">
            <w:pPr>
              <w:spacing w:line="360" w:lineRule="auto"/>
              <w:jc w:val="center"/>
              <w:rPr>
                <w:rFonts w:hint="eastAsia" w:ascii="方正仿宋_GBK" w:hAnsi="方正仿宋_GBK" w:eastAsia="方正仿宋_GBK" w:cs="方正仿宋_GBK"/>
                <w:color w:val="auto"/>
                <w:kern w:val="2"/>
                <w:sz w:val="28"/>
                <w:szCs w:val="28"/>
                <w:lang w:val="en-US" w:eastAsia="zh-CN" w:bidi="ar-SA"/>
              </w:rPr>
            </w:pPr>
          </w:p>
        </w:tc>
        <w:tc>
          <w:tcPr>
            <w:tcW w:w="2649" w:type="dxa"/>
            <w:vAlign w:val="center"/>
          </w:tcPr>
          <w:p w14:paraId="0EA53BFA">
            <w:pPr>
              <w:spacing w:line="360" w:lineRule="auto"/>
              <w:jc w:val="both"/>
              <w:rPr>
                <w:rFonts w:hint="eastAsia" w:ascii="方正仿宋_GBK" w:hAnsi="方正仿宋_GBK" w:eastAsia="方正仿宋_GBK" w:cs="方正仿宋_GBK"/>
                <w:color w:val="auto"/>
                <w:kern w:val="2"/>
                <w:sz w:val="28"/>
                <w:szCs w:val="28"/>
                <w:lang w:val="en-US" w:eastAsia="zh-CN" w:bidi="ar-SA"/>
              </w:rPr>
            </w:pPr>
          </w:p>
        </w:tc>
        <w:tc>
          <w:tcPr>
            <w:tcW w:w="2660" w:type="dxa"/>
            <w:vAlign w:val="center"/>
          </w:tcPr>
          <w:p w14:paraId="5CE88399">
            <w:pPr>
              <w:spacing w:line="360" w:lineRule="auto"/>
              <w:jc w:val="center"/>
              <w:rPr>
                <w:rFonts w:hint="eastAsia" w:ascii="方正仿宋_GBK" w:hAnsi="方正仿宋_GBK" w:eastAsia="方正仿宋_GBK" w:cs="方正仿宋_GBK"/>
                <w:color w:val="auto"/>
                <w:kern w:val="2"/>
                <w:sz w:val="28"/>
                <w:szCs w:val="28"/>
                <w:lang w:val="en-US" w:eastAsia="zh-CN" w:bidi="ar-SA"/>
              </w:rPr>
            </w:pPr>
          </w:p>
        </w:tc>
        <w:tc>
          <w:tcPr>
            <w:tcW w:w="1466" w:type="dxa"/>
            <w:vAlign w:val="center"/>
          </w:tcPr>
          <w:p w14:paraId="150802BD">
            <w:pPr>
              <w:spacing w:line="360" w:lineRule="auto"/>
              <w:jc w:val="center"/>
              <w:rPr>
                <w:rFonts w:hint="eastAsia" w:ascii="方正仿宋_GBK" w:hAnsi="方正仿宋_GBK" w:eastAsia="方正仿宋_GBK" w:cs="方正仿宋_GBK"/>
                <w:color w:val="auto"/>
                <w:kern w:val="2"/>
                <w:sz w:val="28"/>
                <w:szCs w:val="28"/>
                <w:lang w:val="en-US" w:eastAsia="zh-CN" w:bidi="ar-SA"/>
              </w:rPr>
            </w:pPr>
          </w:p>
        </w:tc>
      </w:tr>
      <w:tr w14:paraId="25E21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549" w:type="dxa"/>
            <w:vAlign w:val="center"/>
          </w:tcPr>
          <w:p w14:paraId="4AA73BC2">
            <w:pPr>
              <w:spacing w:line="360" w:lineRule="auto"/>
              <w:jc w:val="center"/>
              <w:rPr>
                <w:rFonts w:hint="eastAsia" w:ascii="方正仿宋_GBK" w:hAnsi="方正仿宋_GBK" w:eastAsia="方正仿宋_GBK" w:cs="方正仿宋_GBK"/>
                <w:color w:val="auto"/>
                <w:kern w:val="2"/>
                <w:sz w:val="28"/>
                <w:szCs w:val="28"/>
                <w:lang w:val="en-US" w:eastAsia="zh-CN" w:bidi="ar-SA"/>
              </w:rPr>
            </w:pPr>
          </w:p>
        </w:tc>
        <w:tc>
          <w:tcPr>
            <w:tcW w:w="2649" w:type="dxa"/>
            <w:vAlign w:val="center"/>
          </w:tcPr>
          <w:p w14:paraId="26091CAA">
            <w:pPr>
              <w:spacing w:line="360" w:lineRule="auto"/>
              <w:jc w:val="both"/>
              <w:rPr>
                <w:rFonts w:hint="eastAsia" w:ascii="方正仿宋_GBK" w:hAnsi="方正仿宋_GBK" w:eastAsia="方正仿宋_GBK" w:cs="方正仿宋_GBK"/>
                <w:color w:val="auto"/>
                <w:kern w:val="2"/>
                <w:sz w:val="28"/>
                <w:szCs w:val="28"/>
                <w:lang w:val="en-US" w:eastAsia="zh-CN" w:bidi="ar-SA"/>
              </w:rPr>
            </w:pPr>
          </w:p>
        </w:tc>
        <w:tc>
          <w:tcPr>
            <w:tcW w:w="2660" w:type="dxa"/>
            <w:vAlign w:val="center"/>
          </w:tcPr>
          <w:p w14:paraId="637FEF1A">
            <w:pPr>
              <w:spacing w:line="360" w:lineRule="auto"/>
              <w:jc w:val="center"/>
              <w:rPr>
                <w:rFonts w:hint="eastAsia" w:ascii="方正仿宋_GBK" w:hAnsi="方正仿宋_GBK" w:eastAsia="方正仿宋_GBK" w:cs="方正仿宋_GBK"/>
                <w:color w:val="auto"/>
                <w:kern w:val="2"/>
                <w:sz w:val="28"/>
                <w:szCs w:val="28"/>
                <w:lang w:val="en-US" w:eastAsia="zh-CN" w:bidi="ar-SA"/>
              </w:rPr>
            </w:pPr>
          </w:p>
        </w:tc>
        <w:tc>
          <w:tcPr>
            <w:tcW w:w="1466" w:type="dxa"/>
            <w:vAlign w:val="center"/>
          </w:tcPr>
          <w:p w14:paraId="2C92506F">
            <w:pPr>
              <w:spacing w:line="360" w:lineRule="auto"/>
              <w:jc w:val="center"/>
              <w:rPr>
                <w:rFonts w:hint="eastAsia" w:ascii="方正仿宋_GBK" w:hAnsi="方正仿宋_GBK" w:eastAsia="方正仿宋_GBK" w:cs="方正仿宋_GBK"/>
                <w:color w:val="auto"/>
                <w:kern w:val="2"/>
                <w:sz w:val="28"/>
                <w:szCs w:val="28"/>
                <w:lang w:val="en-US" w:eastAsia="zh-CN" w:bidi="ar-SA"/>
              </w:rPr>
            </w:pPr>
          </w:p>
        </w:tc>
      </w:tr>
    </w:tbl>
    <w:p w14:paraId="06AC9301">
      <w:pPr>
        <w:pageBreakBefore w:val="0"/>
        <w:numPr>
          <w:ilvl w:val="0"/>
          <w:numId w:val="5"/>
        </w:numPr>
        <w:kinsoku/>
        <w:wordWrap/>
        <w:overflowPunct/>
        <w:topLinePunct w:val="0"/>
        <w:autoSpaceDE/>
        <w:autoSpaceDN/>
        <w:bidi w:val="0"/>
        <w:adjustRightInd/>
        <w:snapToGrid/>
        <w:spacing w:beforeAutospacing="0" w:afterAutospacing="0" w:line="360" w:lineRule="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：合同</w:t>
      </w:r>
      <w:r>
        <w:rPr>
          <w:rFonts w:hint="eastAsia" w:ascii="方正仿宋_GBK" w:hAnsi="方正仿宋_GBK" w:eastAsia="方正仿宋_GBK" w:cs="方正仿宋_GBK"/>
          <w:color w:val="auto"/>
          <w:sz w:val="28"/>
          <w:szCs w:val="28"/>
          <w:lang w:eastAsia="zh-CN"/>
        </w:rPr>
        <w:t>价款</w:t>
      </w:r>
    </w:p>
    <w:p w14:paraId="34A8F95C">
      <w:pPr>
        <w:pStyle w:val="7"/>
        <w:numPr>
          <w:ilvl w:val="0"/>
          <w:numId w:val="0"/>
        </w:numPr>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 xml:space="preserve">     </w:t>
      </w:r>
    </w:p>
    <w:p w14:paraId="0DBB564A">
      <w:pPr>
        <w:pageBreakBefore w:val="0"/>
        <w:kinsoku/>
        <w:wordWrap/>
        <w:overflowPunct/>
        <w:topLinePunct w:val="0"/>
        <w:autoSpaceDE/>
        <w:autoSpaceDN/>
        <w:bidi w:val="0"/>
        <w:adjustRightInd/>
        <w:snapToGrid/>
        <w:spacing w:beforeAutospacing="0" w:afterAutospacing="0" w:line="360" w:lineRule="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第三条：服务内容与质量标准</w:t>
      </w:r>
    </w:p>
    <w:p w14:paraId="5BD715C7">
      <w:pPr>
        <w:pageBreakBefore w:val="0"/>
        <w:kinsoku/>
        <w:wordWrap/>
        <w:overflowPunct/>
        <w:topLinePunct w:val="0"/>
        <w:autoSpaceDE/>
        <w:autoSpaceDN/>
        <w:bidi w:val="0"/>
        <w:adjustRightInd/>
        <w:snapToGrid/>
        <w:spacing w:beforeAutospacing="0" w:afterAutospacing="0"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1.________；</w:t>
      </w:r>
    </w:p>
    <w:p w14:paraId="237BDE92">
      <w:pPr>
        <w:pageBreakBefore w:val="0"/>
        <w:kinsoku/>
        <w:wordWrap/>
        <w:overflowPunct/>
        <w:topLinePunct w:val="0"/>
        <w:autoSpaceDE/>
        <w:autoSpaceDN/>
        <w:bidi w:val="0"/>
        <w:adjustRightInd/>
        <w:snapToGrid/>
        <w:spacing w:beforeAutospacing="0" w:afterAutospacing="0"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2.________；</w:t>
      </w:r>
    </w:p>
    <w:p w14:paraId="4DB6BF00">
      <w:pPr>
        <w:pageBreakBefore w:val="0"/>
        <w:kinsoku/>
        <w:wordWrap/>
        <w:overflowPunct/>
        <w:topLinePunct w:val="0"/>
        <w:autoSpaceDE/>
        <w:autoSpaceDN/>
        <w:bidi w:val="0"/>
        <w:adjustRightInd/>
        <w:snapToGrid/>
        <w:spacing w:beforeAutospacing="0" w:afterAutospacing="0"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3.________；</w:t>
      </w:r>
    </w:p>
    <w:p w14:paraId="17F1098F">
      <w:pPr>
        <w:pageBreakBefore w:val="0"/>
        <w:kinsoku/>
        <w:wordWrap/>
        <w:overflowPunct/>
        <w:topLinePunct w:val="0"/>
        <w:autoSpaceDE/>
        <w:autoSpaceDN/>
        <w:bidi w:val="0"/>
        <w:adjustRightInd/>
        <w:snapToGrid/>
        <w:spacing w:beforeAutospacing="0" w:afterAutospacing="0"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p>
    <w:p w14:paraId="3D01209C">
      <w:pPr>
        <w:pageBreakBefore w:val="0"/>
        <w:kinsoku/>
        <w:wordWrap/>
        <w:overflowPunct/>
        <w:topLinePunct w:val="0"/>
        <w:autoSpaceDE/>
        <w:autoSpaceDN/>
        <w:bidi w:val="0"/>
        <w:adjustRightInd/>
        <w:snapToGrid/>
        <w:spacing w:beforeAutospacing="0" w:afterAutospacing="0" w:line="360" w:lineRule="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第四条：服务费用的支付方式</w:t>
      </w:r>
    </w:p>
    <w:p w14:paraId="7A2F6A83">
      <w:pPr>
        <w:keepNext w:val="0"/>
        <w:keepLines w:val="0"/>
        <w:widowControl/>
        <w:suppressLineNumbers w:val="0"/>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sz w:val="28"/>
          <w:szCs w:val="16"/>
          <w:highlight w:val="none"/>
          <w:lang w:eastAsia="zh-CN"/>
        </w:rPr>
        <w:t>签订合同后支付合同总价款的</w:t>
      </w:r>
      <w:r>
        <w:rPr>
          <w:rFonts w:hint="eastAsia" w:ascii="方正仿宋_GBK" w:hAnsi="方正仿宋_GBK" w:eastAsia="方正仿宋_GBK" w:cs="方正仿宋_GBK"/>
          <w:sz w:val="28"/>
          <w:szCs w:val="16"/>
          <w:highlight w:val="none"/>
          <w:lang w:val="en-US" w:eastAsia="zh-CN"/>
        </w:rPr>
        <w:t>40%，服务结束验收合格支付余下60%。</w:t>
      </w:r>
    </w:p>
    <w:p w14:paraId="5918A8EA">
      <w:pPr>
        <w:pageBreakBefore w:val="0"/>
        <w:kinsoku/>
        <w:wordWrap/>
        <w:overflowPunct/>
        <w:topLinePunct w:val="0"/>
        <w:autoSpaceDE/>
        <w:autoSpaceDN/>
        <w:bidi w:val="0"/>
        <w:adjustRightInd/>
        <w:snapToGrid/>
        <w:spacing w:beforeAutospacing="0" w:afterAutospacing="0" w:line="360" w:lineRule="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第五条：知识产权</w:t>
      </w:r>
    </w:p>
    <w:p w14:paraId="7858016E">
      <w:pPr>
        <w:pageBreakBefore w:val="0"/>
        <w:kinsoku/>
        <w:wordWrap/>
        <w:overflowPunct/>
        <w:topLinePunct w:val="0"/>
        <w:autoSpaceDE/>
        <w:autoSpaceDN/>
        <w:bidi w:val="0"/>
        <w:adjustRightInd/>
        <w:snapToGrid/>
        <w:spacing w:beforeAutospacing="0" w:afterAutospacing="0"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乙方应保证所提供的服务或其任何一部分均不会侵犯任何第三方的专利权、商标权或著作权。</w:t>
      </w:r>
    </w:p>
    <w:p w14:paraId="35067501">
      <w:pPr>
        <w:pageBreakBefore w:val="0"/>
        <w:kinsoku/>
        <w:wordWrap/>
        <w:overflowPunct/>
        <w:topLinePunct w:val="0"/>
        <w:autoSpaceDE/>
        <w:autoSpaceDN/>
        <w:bidi w:val="0"/>
        <w:adjustRightInd/>
        <w:snapToGrid/>
        <w:spacing w:beforeAutospacing="0" w:afterAutospacing="0" w:line="360" w:lineRule="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第六条：无产权瑕疵条款</w:t>
      </w:r>
    </w:p>
    <w:p w14:paraId="5B25EE88">
      <w:pPr>
        <w:pageBreakBefore w:val="0"/>
        <w:kinsoku/>
        <w:wordWrap/>
        <w:overflowPunct/>
        <w:topLinePunct w:val="0"/>
        <w:autoSpaceDE/>
        <w:autoSpaceDN/>
        <w:bidi w:val="0"/>
        <w:adjustRightInd/>
        <w:snapToGrid/>
        <w:spacing w:beforeAutospacing="0" w:afterAutospacing="0"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乙方保证所提供的服务的所有权完全属于乙方且无任何抵押、查封等产权瑕疵。如有产权瑕疵的，视为乙方违约。乙方应负担由此而产生的一切损失。</w:t>
      </w:r>
    </w:p>
    <w:p w14:paraId="63D28EF6">
      <w:pPr>
        <w:pageBreakBefore w:val="0"/>
        <w:kinsoku/>
        <w:wordWrap/>
        <w:overflowPunct/>
        <w:topLinePunct w:val="0"/>
        <w:autoSpaceDE/>
        <w:autoSpaceDN/>
        <w:bidi w:val="0"/>
        <w:adjustRightInd/>
        <w:snapToGrid/>
        <w:spacing w:beforeAutospacing="0" w:afterAutospacing="0" w:line="360" w:lineRule="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第七条：履约担保</w:t>
      </w:r>
    </w:p>
    <w:p w14:paraId="06CC9582">
      <w:pPr>
        <w:pageBreakBefore w:val="0"/>
        <w:kinsoku/>
        <w:wordWrap/>
        <w:overflowPunct/>
        <w:topLinePunct w:val="0"/>
        <w:autoSpaceDE/>
        <w:autoSpaceDN/>
        <w:bidi w:val="0"/>
        <w:adjustRightInd/>
        <w:snapToGrid/>
        <w:spacing w:beforeAutospacing="0" w:afterAutospacing="0"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1.本合同签订前，乙方已向甲方提交了_____元的履约保证金/履约保函（受益人为甲方）。</w:t>
      </w:r>
    </w:p>
    <w:p w14:paraId="3ABFDD68">
      <w:pPr>
        <w:pageBreakBefore w:val="0"/>
        <w:kinsoku/>
        <w:wordWrap/>
        <w:overflowPunct/>
        <w:topLinePunct w:val="0"/>
        <w:autoSpaceDE/>
        <w:autoSpaceDN/>
        <w:bidi w:val="0"/>
        <w:adjustRightInd/>
        <w:snapToGrid/>
        <w:spacing w:beforeAutospacing="0" w:afterAutospacing="0"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2.履约担保作为违约金的一部分及用于补偿甲方因乙方不能履行合同义务而蒙受的损失。</w:t>
      </w:r>
    </w:p>
    <w:p w14:paraId="161EBA57">
      <w:pPr>
        <w:pageBreakBefore w:val="0"/>
        <w:kinsoku/>
        <w:wordWrap/>
        <w:overflowPunct/>
        <w:topLinePunct w:val="0"/>
        <w:autoSpaceDE/>
        <w:autoSpaceDN/>
        <w:bidi w:val="0"/>
        <w:adjustRightInd/>
        <w:snapToGrid/>
        <w:spacing w:beforeAutospacing="0" w:afterAutospacing="0" w:line="360" w:lineRule="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第八条：甲方的权利和义务</w:t>
      </w:r>
    </w:p>
    <w:p w14:paraId="11883570">
      <w:pPr>
        <w:pageBreakBefore w:val="0"/>
        <w:kinsoku/>
        <w:wordWrap/>
        <w:overflowPunct/>
        <w:topLinePunct w:val="0"/>
        <w:autoSpaceDE/>
        <w:autoSpaceDN/>
        <w:bidi w:val="0"/>
        <w:adjustRightInd/>
        <w:snapToGrid/>
        <w:spacing w:beforeAutospacing="0" w:afterAutospacing="0"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1.甲方有权对合同规定范围内乙方的服务行为进行监督和检查，拥有监管权。有权定期核对乙方提供服务所配备的人员数量。对甲方认为不合理的部分有权下达整改通知书，并要求乙方限期整改。</w:t>
      </w:r>
    </w:p>
    <w:p w14:paraId="0CF92130">
      <w:pPr>
        <w:pageBreakBefore w:val="0"/>
        <w:kinsoku/>
        <w:wordWrap/>
        <w:overflowPunct/>
        <w:topLinePunct w:val="0"/>
        <w:autoSpaceDE/>
        <w:autoSpaceDN/>
        <w:bidi w:val="0"/>
        <w:adjustRightInd/>
        <w:snapToGrid/>
        <w:spacing w:beforeAutospacing="0" w:afterAutospacing="0"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2.甲方有权依据双方签订的考评办法对乙方提供的服务进行定期考评。当考评结果未达到标准时，有权依据考评办法约定的数额扣除履约担保。</w:t>
      </w:r>
    </w:p>
    <w:p w14:paraId="35136013">
      <w:pPr>
        <w:pageBreakBefore w:val="0"/>
        <w:kinsoku/>
        <w:wordWrap/>
        <w:overflowPunct/>
        <w:topLinePunct w:val="0"/>
        <w:autoSpaceDE/>
        <w:autoSpaceDN/>
        <w:bidi w:val="0"/>
        <w:adjustRightInd/>
        <w:snapToGrid/>
        <w:spacing w:beforeAutospacing="0" w:afterAutospacing="0"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3.负责检查监督乙方管理工作的实施及制度的执行情况。</w:t>
      </w:r>
    </w:p>
    <w:p w14:paraId="41AED419">
      <w:pPr>
        <w:pageBreakBefore w:val="0"/>
        <w:kinsoku/>
        <w:wordWrap/>
        <w:overflowPunct/>
        <w:topLinePunct w:val="0"/>
        <w:autoSpaceDE/>
        <w:autoSpaceDN/>
        <w:bidi w:val="0"/>
        <w:adjustRightInd/>
        <w:snapToGrid/>
        <w:spacing w:beforeAutospacing="0" w:afterAutospacing="0"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4.根据本合同规定，按时向乙方支付应付服务费用。</w:t>
      </w:r>
    </w:p>
    <w:p w14:paraId="0AD3A5E0">
      <w:pPr>
        <w:pageBreakBefore w:val="0"/>
        <w:kinsoku/>
        <w:wordWrap/>
        <w:overflowPunct/>
        <w:topLinePunct w:val="0"/>
        <w:autoSpaceDE/>
        <w:autoSpaceDN/>
        <w:bidi w:val="0"/>
        <w:adjustRightInd/>
        <w:snapToGrid/>
        <w:spacing w:beforeAutospacing="0" w:afterAutospacing="0"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5.国家法律、法规所规定由甲方承担的其它责任。</w:t>
      </w:r>
    </w:p>
    <w:p w14:paraId="6E95F262">
      <w:pPr>
        <w:pageBreakBefore w:val="0"/>
        <w:kinsoku/>
        <w:wordWrap/>
        <w:overflowPunct/>
        <w:topLinePunct w:val="0"/>
        <w:autoSpaceDE/>
        <w:autoSpaceDN/>
        <w:bidi w:val="0"/>
        <w:adjustRightInd/>
        <w:snapToGrid/>
        <w:spacing w:beforeAutospacing="0" w:afterAutospacing="0" w:line="360" w:lineRule="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第九条：乙方的权利和义务</w:t>
      </w:r>
    </w:p>
    <w:p w14:paraId="5804EF8E">
      <w:pPr>
        <w:pageBreakBefore w:val="0"/>
        <w:kinsoku/>
        <w:wordWrap/>
        <w:overflowPunct/>
        <w:topLinePunct w:val="0"/>
        <w:autoSpaceDE/>
        <w:autoSpaceDN/>
        <w:bidi w:val="0"/>
        <w:adjustRightInd/>
        <w:snapToGrid/>
        <w:spacing w:beforeAutospacing="0" w:afterAutospacing="0"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1.对本合同规定的委托服务范围内的项目享有管理权及服务义务。</w:t>
      </w:r>
    </w:p>
    <w:p w14:paraId="0417017A">
      <w:pPr>
        <w:pageBreakBefore w:val="0"/>
        <w:kinsoku/>
        <w:wordWrap/>
        <w:overflowPunct/>
        <w:topLinePunct w:val="0"/>
        <w:autoSpaceDE/>
        <w:autoSpaceDN/>
        <w:bidi w:val="0"/>
        <w:adjustRightInd/>
        <w:snapToGrid/>
        <w:spacing w:beforeAutospacing="0" w:afterAutospacing="0"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2.根据本合同的规定向甲方收取相关服务费用，并有权在本项目管理范围内管理及合理使用。</w:t>
      </w:r>
    </w:p>
    <w:p w14:paraId="76DC9AFC">
      <w:pPr>
        <w:pageBreakBefore w:val="0"/>
        <w:kinsoku/>
        <w:wordWrap/>
        <w:overflowPunct/>
        <w:topLinePunct w:val="0"/>
        <w:autoSpaceDE/>
        <w:autoSpaceDN/>
        <w:bidi w:val="0"/>
        <w:adjustRightInd/>
        <w:snapToGrid/>
        <w:spacing w:beforeAutospacing="0" w:afterAutospacing="0"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3.及时向甲方通告本项目服务范围内有关服务的重大事项，及时配合处理投诉。</w:t>
      </w:r>
    </w:p>
    <w:p w14:paraId="63D8A634">
      <w:pPr>
        <w:pageBreakBefore w:val="0"/>
        <w:kinsoku/>
        <w:wordWrap/>
        <w:overflowPunct/>
        <w:topLinePunct w:val="0"/>
        <w:autoSpaceDE/>
        <w:autoSpaceDN/>
        <w:bidi w:val="0"/>
        <w:adjustRightInd/>
        <w:snapToGrid/>
        <w:spacing w:beforeAutospacing="0" w:afterAutospacing="0"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4.接受项目行业管理部门及政府有关部门的指导，接受甲方的监督。</w:t>
      </w:r>
    </w:p>
    <w:p w14:paraId="5BD59C67">
      <w:pPr>
        <w:pageBreakBefore w:val="0"/>
        <w:kinsoku/>
        <w:wordWrap/>
        <w:overflowPunct/>
        <w:topLinePunct w:val="0"/>
        <w:autoSpaceDE/>
        <w:autoSpaceDN/>
        <w:bidi w:val="0"/>
        <w:adjustRightInd/>
        <w:snapToGrid/>
        <w:spacing w:beforeAutospacing="0" w:afterAutospacing="0"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5.国家法律、法规所规定由乙方承担的其它责任。</w:t>
      </w:r>
    </w:p>
    <w:p w14:paraId="62FD0D03">
      <w:pPr>
        <w:pageBreakBefore w:val="0"/>
        <w:kinsoku/>
        <w:wordWrap/>
        <w:overflowPunct/>
        <w:topLinePunct w:val="0"/>
        <w:autoSpaceDE/>
        <w:autoSpaceDN/>
        <w:bidi w:val="0"/>
        <w:adjustRightInd/>
        <w:snapToGrid/>
        <w:spacing w:beforeAutospacing="0" w:afterAutospacing="0" w:line="360" w:lineRule="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第十条：违约责任</w:t>
      </w:r>
    </w:p>
    <w:p w14:paraId="2A45F5C4">
      <w:pPr>
        <w:pageBreakBefore w:val="0"/>
        <w:kinsoku/>
        <w:wordWrap/>
        <w:overflowPunct/>
        <w:topLinePunct w:val="0"/>
        <w:autoSpaceDE/>
        <w:autoSpaceDN/>
        <w:bidi w:val="0"/>
        <w:adjustRightInd/>
        <w:snapToGrid/>
        <w:spacing w:beforeAutospacing="0" w:afterAutospacing="0"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1.甲乙双方必须遵守本合同并执行合同中的各项规定，保证本合同的正常履行。</w:t>
      </w:r>
    </w:p>
    <w:p w14:paraId="73A03740">
      <w:pPr>
        <w:pageBreakBefore w:val="0"/>
        <w:kinsoku/>
        <w:wordWrap/>
        <w:overflowPunct/>
        <w:topLinePunct w:val="0"/>
        <w:autoSpaceDE/>
        <w:autoSpaceDN/>
        <w:bidi w:val="0"/>
        <w:adjustRightInd/>
        <w:snapToGrid/>
        <w:spacing w:beforeAutospacing="0" w:afterAutospacing="0"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5CD207BE">
      <w:pPr>
        <w:pageBreakBefore w:val="0"/>
        <w:kinsoku/>
        <w:wordWrap/>
        <w:overflowPunct/>
        <w:topLinePunct w:val="0"/>
        <w:autoSpaceDE/>
        <w:autoSpaceDN/>
        <w:bidi w:val="0"/>
        <w:adjustRightInd/>
        <w:snapToGrid/>
        <w:spacing w:beforeAutospacing="0" w:afterAutospacing="0" w:line="360" w:lineRule="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第十一条：不可抗力事件处理</w:t>
      </w:r>
    </w:p>
    <w:p w14:paraId="2AAB654C">
      <w:pPr>
        <w:pageBreakBefore w:val="0"/>
        <w:kinsoku/>
        <w:wordWrap/>
        <w:overflowPunct/>
        <w:topLinePunct w:val="0"/>
        <w:autoSpaceDE/>
        <w:autoSpaceDN/>
        <w:bidi w:val="0"/>
        <w:adjustRightInd/>
        <w:snapToGrid/>
        <w:spacing w:beforeAutospacing="0" w:afterAutospacing="0"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1.在合同有效期内，任何一方因不可抗力事件导致不能履行合同，则合同履行期可延长，其延长期与不可抗力影响期相同。</w:t>
      </w:r>
    </w:p>
    <w:p w14:paraId="3F5AD39D">
      <w:pPr>
        <w:pageBreakBefore w:val="0"/>
        <w:kinsoku/>
        <w:wordWrap/>
        <w:overflowPunct/>
        <w:topLinePunct w:val="0"/>
        <w:autoSpaceDE/>
        <w:autoSpaceDN/>
        <w:bidi w:val="0"/>
        <w:adjustRightInd/>
        <w:snapToGrid/>
        <w:spacing w:beforeAutospacing="0" w:afterAutospacing="0"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2.不可抗力事件发生后，应立即通知对方，并寄送有关权威机构出具的证明。</w:t>
      </w:r>
    </w:p>
    <w:p w14:paraId="1D5F70EB">
      <w:pPr>
        <w:pageBreakBefore w:val="0"/>
        <w:kinsoku/>
        <w:wordWrap/>
        <w:overflowPunct/>
        <w:topLinePunct w:val="0"/>
        <w:autoSpaceDE/>
        <w:autoSpaceDN/>
        <w:bidi w:val="0"/>
        <w:adjustRightInd/>
        <w:snapToGrid/>
        <w:spacing w:beforeAutospacing="0" w:afterAutospacing="0"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3.不可抗力事件延续</w:t>
      </w:r>
      <w:r>
        <w:rPr>
          <w:rFonts w:hint="eastAsia" w:ascii="方正仿宋_GBK" w:hAnsi="方正仿宋_GBK" w:eastAsia="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rPr>
        <w:t>天以上，双方应通过友好协商，确定是否继续履行合同。</w:t>
      </w:r>
    </w:p>
    <w:p w14:paraId="7C046E50">
      <w:pPr>
        <w:pageBreakBefore w:val="0"/>
        <w:kinsoku/>
        <w:wordWrap/>
        <w:overflowPunct/>
        <w:topLinePunct w:val="0"/>
        <w:autoSpaceDE/>
        <w:autoSpaceDN/>
        <w:bidi w:val="0"/>
        <w:adjustRightInd/>
        <w:snapToGrid/>
        <w:spacing w:beforeAutospacing="0" w:afterAutospacing="0" w:line="360" w:lineRule="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第十二条：解决合同纠纷的方式</w:t>
      </w:r>
    </w:p>
    <w:p w14:paraId="01590580">
      <w:pPr>
        <w:pageBreakBefore w:val="0"/>
        <w:kinsoku/>
        <w:wordWrap/>
        <w:overflowPunct/>
        <w:topLinePunct w:val="0"/>
        <w:autoSpaceDE/>
        <w:autoSpaceDN/>
        <w:bidi w:val="0"/>
        <w:adjustRightInd/>
        <w:snapToGrid/>
        <w:spacing w:beforeAutospacing="0" w:afterAutospacing="0"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1.在执行本合同中发生的或与本合同有关的争端，双方应通过友好协商解决，经协商不能达成协议时，应提交巴中仲裁委员会仲裁或向当地人民法院提起诉讼解决。</w:t>
      </w:r>
    </w:p>
    <w:p w14:paraId="22DB6B00">
      <w:pPr>
        <w:pageBreakBefore w:val="0"/>
        <w:kinsoku/>
        <w:wordWrap/>
        <w:overflowPunct/>
        <w:topLinePunct w:val="0"/>
        <w:autoSpaceDE/>
        <w:autoSpaceDN/>
        <w:bidi w:val="0"/>
        <w:adjustRightInd/>
        <w:snapToGrid/>
        <w:spacing w:beforeAutospacing="0" w:afterAutospacing="0"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2.仲裁裁决应为最终决定，并对双方具有约束力。</w:t>
      </w:r>
    </w:p>
    <w:p w14:paraId="2F9D9DC4">
      <w:pPr>
        <w:pageBreakBefore w:val="0"/>
        <w:kinsoku/>
        <w:wordWrap/>
        <w:overflowPunct/>
        <w:topLinePunct w:val="0"/>
        <w:autoSpaceDE/>
        <w:autoSpaceDN/>
        <w:bidi w:val="0"/>
        <w:adjustRightInd/>
        <w:snapToGrid/>
        <w:spacing w:beforeAutospacing="0" w:afterAutospacing="0"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3.除另有裁决外，仲裁费应由败诉方负担。</w:t>
      </w:r>
    </w:p>
    <w:p w14:paraId="322B2AF0">
      <w:pPr>
        <w:pageBreakBefore w:val="0"/>
        <w:kinsoku/>
        <w:wordWrap/>
        <w:overflowPunct/>
        <w:topLinePunct w:val="0"/>
        <w:autoSpaceDE/>
        <w:autoSpaceDN/>
        <w:bidi w:val="0"/>
        <w:adjustRightInd/>
        <w:snapToGrid/>
        <w:spacing w:beforeAutospacing="0" w:afterAutospacing="0"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4.在仲裁期间，除正在进行仲裁部分外，合同其他部分继续执行。</w:t>
      </w:r>
    </w:p>
    <w:p w14:paraId="0610E1AF">
      <w:pPr>
        <w:pageBreakBefore w:val="0"/>
        <w:kinsoku/>
        <w:wordWrap/>
        <w:overflowPunct/>
        <w:topLinePunct w:val="0"/>
        <w:autoSpaceDE/>
        <w:autoSpaceDN/>
        <w:bidi w:val="0"/>
        <w:adjustRightInd/>
        <w:snapToGrid/>
        <w:spacing w:beforeAutospacing="0" w:afterAutospacing="0" w:line="360" w:lineRule="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第十三条：合同生效及其他</w:t>
      </w:r>
    </w:p>
    <w:p w14:paraId="0F235AC2">
      <w:pPr>
        <w:pageBreakBefore w:val="0"/>
        <w:kinsoku/>
        <w:wordWrap/>
        <w:overflowPunct/>
        <w:topLinePunct w:val="0"/>
        <w:autoSpaceDE/>
        <w:autoSpaceDN/>
        <w:bidi w:val="0"/>
        <w:adjustRightInd/>
        <w:snapToGrid/>
        <w:spacing w:beforeAutospacing="0" w:afterAutospacing="0"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1.合同经双方法定代表人或授权委托代理人签字并加盖单位公章后生效。</w:t>
      </w:r>
    </w:p>
    <w:p w14:paraId="166805CA">
      <w:pPr>
        <w:pageBreakBefore w:val="0"/>
        <w:kinsoku/>
        <w:wordWrap/>
        <w:overflowPunct/>
        <w:topLinePunct w:val="0"/>
        <w:autoSpaceDE/>
        <w:autoSpaceDN/>
        <w:bidi w:val="0"/>
        <w:adjustRightInd/>
        <w:snapToGrid/>
        <w:spacing w:beforeAutospacing="0" w:afterAutospacing="0"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2.合同执行中涉及采购资金和采购内容修改或补充的，须经政府采购监管部门审批，并签书面补充协议报政府采购监督管理部门备案，方可作为主合同不可分割的一部分。</w:t>
      </w:r>
    </w:p>
    <w:p w14:paraId="33056176">
      <w:pPr>
        <w:ind w:firstLine="560" w:firstLineChars="200"/>
        <w:rPr>
          <w:rFonts w:hint="eastAsia" w:ascii="方正仿宋_GBK" w:hAnsi="方正仿宋_GBK" w:eastAsia="方正仿宋_GBK" w:cs="方正仿宋_GBK"/>
          <w:color w:val="auto"/>
          <w:sz w:val="28"/>
        </w:rPr>
      </w:pPr>
      <w:r>
        <w:rPr>
          <w:rFonts w:hint="eastAsia" w:ascii="方正仿宋_GBK" w:hAnsi="方正仿宋_GBK" w:eastAsia="方正仿宋_GBK" w:cs="方正仿宋_GBK"/>
          <w:color w:val="auto"/>
          <w:sz w:val="28"/>
        </w:rPr>
        <w:t>3.本合同一式</w:t>
      </w:r>
      <w:r>
        <w:rPr>
          <w:rFonts w:hint="eastAsia" w:ascii="方正仿宋_GBK" w:hAnsi="方正仿宋_GBK" w:eastAsia="方正仿宋_GBK" w:cs="方正仿宋_GBK"/>
          <w:color w:val="auto"/>
          <w:sz w:val="28"/>
          <w:u w:val="single"/>
        </w:rPr>
        <w:t>陆</w:t>
      </w:r>
      <w:r>
        <w:rPr>
          <w:rFonts w:hint="eastAsia" w:ascii="方正仿宋_GBK" w:hAnsi="方正仿宋_GBK" w:eastAsia="方正仿宋_GBK" w:cs="方正仿宋_GBK"/>
          <w:color w:val="auto"/>
          <w:sz w:val="28"/>
        </w:rPr>
        <w:t>份，自双方签章之日起起效。甲方</w:t>
      </w:r>
      <w:r>
        <w:rPr>
          <w:rFonts w:hint="eastAsia" w:ascii="方正仿宋_GBK" w:hAnsi="方正仿宋_GBK" w:eastAsia="方正仿宋_GBK" w:cs="方正仿宋_GBK"/>
          <w:color w:val="auto"/>
          <w:sz w:val="28"/>
          <w:u w:val="single"/>
        </w:rPr>
        <w:t>贰</w:t>
      </w:r>
      <w:r>
        <w:rPr>
          <w:rFonts w:hint="eastAsia" w:ascii="方正仿宋_GBK" w:hAnsi="方正仿宋_GBK" w:eastAsia="方正仿宋_GBK" w:cs="方正仿宋_GBK"/>
          <w:color w:val="auto"/>
          <w:sz w:val="28"/>
        </w:rPr>
        <w:t>份，乙方</w:t>
      </w:r>
      <w:r>
        <w:rPr>
          <w:rFonts w:hint="eastAsia" w:ascii="方正仿宋_GBK" w:hAnsi="方正仿宋_GBK" w:eastAsia="方正仿宋_GBK" w:cs="方正仿宋_GBK"/>
          <w:color w:val="auto"/>
          <w:sz w:val="28"/>
          <w:u w:val="single"/>
        </w:rPr>
        <w:t>贰</w:t>
      </w:r>
      <w:r>
        <w:rPr>
          <w:rFonts w:hint="eastAsia" w:ascii="方正仿宋_GBK" w:hAnsi="方正仿宋_GBK" w:eastAsia="方正仿宋_GBK" w:cs="方正仿宋_GBK"/>
          <w:color w:val="auto"/>
          <w:sz w:val="28"/>
        </w:rPr>
        <w:t>份，政府采购代理机构</w:t>
      </w:r>
      <w:r>
        <w:rPr>
          <w:rFonts w:hint="eastAsia" w:ascii="方正仿宋_GBK" w:hAnsi="方正仿宋_GBK" w:eastAsia="方正仿宋_GBK" w:cs="方正仿宋_GBK"/>
          <w:color w:val="auto"/>
          <w:sz w:val="28"/>
          <w:u w:val="single"/>
        </w:rPr>
        <w:t>壹</w:t>
      </w:r>
      <w:r>
        <w:rPr>
          <w:rFonts w:hint="eastAsia" w:ascii="方正仿宋_GBK" w:hAnsi="方正仿宋_GBK" w:eastAsia="方正仿宋_GBK" w:cs="方正仿宋_GBK"/>
          <w:color w:val="auto"/>
          <w:sz w:val="28"/>
        </w:rPr>
        <w:t>份，同级财政部门备案</w:t>
      </w:r>
      <w:r>
        <w:rPr>
          <w:rFonts w:hint="eastAsia" w:ascii="方正仿宋_GBK" w:hAnsi="方正仿宋_GBK" w:eastAsia="方正仿宋_GBK" w:cs="方正仿宋_GBK"/>
          <w:color w:val="auto"/>
          <w:sz w:val="28"/>
          <w:u w:val="single"/>
        </w:rPr>
        <w:t>壹</w:t>
      </w:r>
      <w:r>
        <w:rPr>
          <w:rFonts w:hint="eastAsia" w:ascii="方正仿宋_GBK" w:hAnsi="方正仿宋_GBK" w:eastAsia="方正仿宋_GBK" w:cs="方正仿宋_GBK"/>
          <w:color w:val="auto"/>
          <w:sz w:val="28"/>
        </w:rPr>
        <w:t>份，具有同等法律效力。</w:t>
      </w:r>
    </w:p>
    <w:p w14:paraId="299DE561">
      <w:pPr>
        <w:pageBreakBefore w:val="0"/>
        <w:kinsoku/>
        <w:wordWrap/>
        <w:overflowPunct/>
        <w:topLinePunct w:val="0"/>
        <w:autoSpaceDE/>
        <w:autoSpaceDN/>
        <w:bidi w:val="0"/>
        <w:adjustRightInd/>
        <w:snapToGrid/>
        <w:spacing w:beforeAutospacing="0" w:afterAutospacing="0" w:line="360" w:lineRule="auto"/>
        <w:ind w:firstLine="560" w:firstLineChars="200"/>
        <w:rPr>
          <w:rFonts w:hint="eastAsia" w:ascii="方正仿宋_GBK" w:hAnsi="方正仿宋_GBK" w:eastAsia="方正仿宋_GBK" w:cs="方正仿宋_GBK"/>
          <w:color w:val="auto"/>
          <w:sz w:val="28"/>
          <w:szCs w:val="28"/>
        </w:rPr>
      </w:pPr>
    </w:p>
    <w:p w14:paraId="5B026F38">
      <w:pPr>
        <w:pageBreakBefore w:val="0"/>
        <w:kinsoku/>
        <w:wordWrap/>
        <w:overflowPunct/>
        <w:topLinePunct w:val="0"/>
        <w:autoSpaceDE/>
        <w:autoSpaceDN/>
        <w:bidi w:val="0"/>
        <w:adjustRightInd/>
        <w:snapToGrid/>
        <w:spacing w:beforeAutospacing="0" w:afterAutospacing="0" w:line="360" w:lineRule="auto"/>
        <w:rPr>
          <w:rFonts w:hint="eastAsia" w:ascii="方正仿宋_GBK" w:hAnsi="方正仿宋_GBK" w:eastAsia="方正仿宋_GBK" w:cs="方正仿宋_GBK"/>
          <w:color w:val="auto"/>
          <w:sz w:val="28"/>
          <w:szCs w:val="28"/>
        </w:rPr>
      </w:pPr>
    </w:p>
    <w:p w14:paraId="67A33ADD">
      <w:pPr>
        <w:pageBreakBefore w:val="0"/>
        <w:kinsoku/>
        <w:wordWrap/>
        <w:overflowPunct/>
        <w:topLinePunct w:val="0"/>
        <w:autoSpaceDE/>
        <w:autoSpaceDN/>
        <w:bidi w:val="0"/>
        <w:adjustRightInd/>
        <w:snapToGrid/>
        <w:spacing w:beforeAutospacing="0" w:afterAutospacing="0" w:line="360" w:lineRule="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甲方（盖章）：      </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 xml:space="preserve">乙方（盖章）：   </w:t>
      </w:r>
    </w:p>
    <w:p w14:paraId="0D817C9A">
      <w:pPr>
        <w:pageBreakBefore w:val="0"/>
        <w:kinsoku/>
        <w:wordWrap/>
        <w:overflowPunct/>
        <w:topLinePunct w:val="0"/>
        <w:autoSpaceDE/>
        <w:autoSpaceDN/>
        <w:bidi w:val="0"/>
        <w:adjustRightInd/>
        <w:snapToGrid/>
        <w:spacing w:beforeAutospacing="0" w:afterAutospacing="0" w:line="360" w:lineRule="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法定代表人（授权代表）：           法定代表人（授权代表）：</w:t>
      </w:r>
    </w:p>
    <w:p w14:paraId="2EA0EBE2">
      <w:pPr>
        <w:pageBreakBefore w:val="0"/>
        <w:kinsoku/>
        <w:wordWrap/>
        <w:overflowPunct/>
        <w:topLinePunct w:val="0"/>
        <w:autoSpaceDE/>
        <w:autoSpaceDN/>
        <w:bidi w:val="0"/>
        <w:adjustRightInd/>
        <w:snapToGrid/>
        <w:spacing w:beforeAutospacing="0" w:afterAutospacing="0" w:line="360" w:lineRule="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地    址：                         地    址：</w:t>
      </w:r>
    </w:p>
    <w:p w14:paraId="4BE5F19C">
      <w:pPr>
        <w:pageBreakBefore w:val="0"/>
        <w:kinsoku/>
        <w:wordWrap/>
        <w:overflowPunct/>
        <w:topLinePunct w:val="0"/>
        <w:autoSpaceDE/>
        <w:autoSpaceDN/>
        <w:bidi w:val="0"/>
        <w:adjustRightInd/>
        <w:snapToGrid/>
        <w:spacing w:beforeAutospacing="0" w:afterAutospacing="0" w:line="360" w:lineRule="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开户银行：                         开户银行：</w:t>
      </w:r>
    </w:p>
    <w:p w14:paraId="601C6D21">
      <w:pPr>
        <w:pageBreakBefore w:val="0"/>
        <w:kinsoku/>
        <w:wordWrap/>
        <w:overflowPunct/>
        <w:topLinePunct w:val="0"/>
        <w:autoSpaceDE/>
        <w:autoSpaceDN/>
        <w:bidi w:val="0"/>
        <w:adjustRightInd/>
        <w:snapToGrid/>
        <w:spacing w:beforeAutospacing="0" w:afterAutospacing="0" w:line="360" w:lineRule="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账号：                             账号：</w:t>
      </w:r>
    </w:p>
    <w:p w14:paraId="34672132">
      <w:pPr>
        <w:pageBreakBefore w:val="0"/>
        <w:kinsoku/>
        <w:wordWrap/>
        <w:overflowPunct/>
        <w:topLinePunct w:val="0"/>
        <w:autoSpaceDE/>
        <w:autoSpaceDN/>
        <w:bidi w:val="0"/>
        <w:adjustRightInd/>
        <w:snapToGrid/>
        <w:spacing w:beforeAutospacing="0" w:afterAutospacing="0" w:line="360" w:lineRule="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电    话：                         电    话：</w:t>
      </w:r>
    </w:p>
    <w:p w14:paraId="5C191230">
      <w:pPr>
        <w:pageBreakBefore w:val="0"/>
        <w:kinsoku/>
        <w:wordWrap/>
        <w:overflowPunct/>
        <w:topLinePunct w:val="0"/>
        <w:autoSpaceDE/>
        <w:autoSpaceDN/>
        <w:bidi w:val="0"/>
        <w:adjustRightInd/>
        <w:snapToGrid/>
        <w:spacing w:beforeAutospacing="0" w:afterAutospacing="0" w:line="360" w:lineRule="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传    真：                         传    真：</w:t>
      </w:r>
    </w:p>
    <w:p w14:paraId="621774DC">
      <w:pPr>
        <w:pageBreakBefore w:val="0"/>
        <w:kinsoku/>
        <w:wordWrap/>
        <w:overflowPunct/>
        <w:topLinePunct w:val="0"/>
        <w:autoSpaceDE/>
        <w:autoSpaceDN/>
        <w:bidi w:val="0"/>
        <w:adjustRightInd/>
        <w:snapToGrid/>
        <w:spacing w:beforeAutospacing="0" w:afterAutospacing="0" w:line="360" w:lineRule="auto"/>
        <w:rPr>
          <w:rFonts w:hint="eastAsia" w:ascii="方正仿宋_GBK" w:hAnsi="方正仿宋_GBK" w:eastAsia="方正仿宋_GBK" w:cs="方正仿宋_GBK"/>
          <w:color w:val="auto"/>
          <w:sz w:val="28"/>
          <w:szCs w:val="28"/>
          <w:lang w:eastAsia="zh-CN"/>
        </w:rPr>
      </w:pPr>
    </w:p>
    <w:p w14:paraId="0BD0AC4A">
      <w:pPr>
        <w:pStyle w:val="7"/>
        <w:rPr>
          <w:rFonts w:hint="eastAsia" w:ascii="方正仿宋_GBK" w:hAnsi="方正仿宋_GBK" w:eastAsia="方正仿宋_GBK" w:cs="方正仿宋_GBK"/>
          <w:color w:val="auto"/>
          <w:lang w:eastAsia="zh-CN"/>
        </w:rPr>
      </w:pPr>
    </w:p>
    <w:p w14:paraId="3312FE83">
      <w:pPr>
        <w:pStyle w:val="50"/>
        <w:rPr>
          <w:rFonts w:hint="eastAsia" w:ascii="方正仿宋_GBK" w:hAnsi="方正仿宋_GBK" w:eastAsia="方正仿宋_GBK" w:cs="方正仿宋_GBK"/>
          <w:color w:val="auto"/>
          <w:lang w:eastAsia="zh-CN"/>
        </w:rPr>
      </w:pPr>
    </w:p>
    <w:p w14:paraId="681B0912">
      <w:pPr>
        <w:rPr>
          <w:rFonts w:hint="eastAsia" w:ascii="方正仿宋_GBK" w:hAnsi="方正仿宋_GBK" w:eastAsia="方正仿宋_GBK" w:cs="方正仿宋_GBK"/>
          <w:color w:val="auto"/>
          <w:lang w:eastAsia="zh-CN"/>
        </w:rPr>
      </w:pPr>
    </w:p>
    <w:p w14:paraId="3008DFE0">
      <w:pPr>
        <w:pStyle w:val="5"/>
        <w:jc w:val="both"/>
        <w:rPr>
          <w:rFonts w:hint="eastAsia"/>
          <w:color w:val="auto"/>
          <w:lang w:eastAsia="zh-CN"/>
        </w:rPr>
      </w:pPr>
    </w:p>
    <w:p w14:paraId="39867434">
      <w:pPr>
        <w:spacing w:line="360" w:lineRule="auto"/>
        <w:rPr>
          <w:rFonts w:hint="eastAsia" w:ascii="方正仿宋_GBK" w:hAnsi="方正仿宋_GBK" w:eastAsia="方正仿宋_GBK" w:cs="方正仿宋_GBK"/>
          <w:b/>
          <w:color w:val="auto"/>
          <w:sz w:val="28"/>
          <w:szCs w:val="28"/>
          <w:shd w:val="clear" w:color="auto" w:fill="auto"/>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145B8">
    <w:pPr>
      <w:pStyle w:val="20"/>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32EFAD7">
                          <w:pPr>
                            <w:pStyle w:val="2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  \* MERGEFORMAT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t>1</w:t>
                          </w:r>
                          <w:r>
                            <w:rPr>
                              <w:rFonts w:hint="eastAsia" w:ascii="方正仿宋_GBK" w:hAnsi="方正仿宋_GBK" w:eastAsia="方正仿宋_GBK" w:cs="方正仿宋_GBK"/>
                              <w:sz w:val="21"/>
                              <w:szCs w:val="21"/>
                            </w:rPr>
                            <w:fldChar w:fldCharType="end"/>
                          </w:r>
                        </w:p>
                      </w:txbxContent>
                    </wps:txbx>
                    <wps:bodyPr vert="horz" wrap="none" lIns="0" tIns="0" rIns="0" bIns="0" anchor="t" anchorCtr="0">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l5uc8AAAAFAQAA&#10;DwAAAAAAAAABACAAAAAiAAAAZHJzL2Rvd25yZXYueG1sUEsBAhQAFAAAAAgAh07iQHITSCrpAQAA&#10;zAMAAA4AAAAAAAAAAQAgAAAAHgEAAGRycy9lMm9Eb2MueG1sUEsFBgAAAAAGAAYAWQEAAHkFAAAA&#10;AA==&#10;">
              <v:fill on="f" focussize="0,0"/>
              <v:stroke on="f"/>
              <v:imagedata o:title=""/>
              <o:lock v:ext="edit" aspectratio="f"/>
              <v:textbox inset="0mm,0mm,0mm,0mm" style="mso-fit-shape-to-text:t;">
                <w:txbxContent>
                  <w:p w14:paraId="332EFAD7">
                    <w:pPr>
                      <w:pStyle w:val="2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  \* MERGEFORMAT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t>1</w:t>
                    </w:r>
                    <w:r>
                      <w:rPr>
                        <w:rFonts w:hint="eastAsia" w:ascii="方正仿宋_GBK" w:hAnsi="方正仿宋_GBK" w:eastAsia="方正仿宋_GBK" w:cs="方正仿宋_GBK"/>
                        <w:sz w:val="21"/>
                        <w:szCs w:val="21"/>
                      </w:rPr>
                      <w:fldChar w:fldCharType="end"/>
                    </w:r>
                  </w:p>
                </w:txbxContent>
              </v:textbox>
            </v:shape>
          </w:pict>
        </mc:Fallback>
      </mc:AlternateContent>
    </w:r>
    <w:r>
      <w:rPr>
        <w:rFonts w:hint="eastAsia" w:ascii="方正仿宋_GBK" w:hAnsi="方正仿宋_GBK" w:eastAsia="方正仿宋_GBK" w:cs="方正仿宋_GBK"/>
        <w:sz w:val="21"/>
        <w:szCs w:val="21"/>
      </w:rPr>
      <w:t>巴中市江北大道西段凯悦名城9栋12楼                       联系电话：0827-8668888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0B9E">
    <w:pPr>
      <w:pStyle w:val="20"/>
      <w:rPr>
        <w:rFonts w:ascii="方正仿宋_GBK" w:hAnsi="方正仿宋_GBK" w:eastAsia="方正仿宋_GBK" w:cs="方正仿宋_GBK"/>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4FDD436E">
                          <w:pPr>
                            <w:pStyle w:val="2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  \* MERGEFORMAT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t>13</w:t>
                          </w:r>
                          <w:r>
                            <w:rPr>
                              <w:rFonts w:hint="eastAsia" w:ascii="方正仿宋_GBK" w:hAnsi="方正仿宋_GBK" w:eastAsia="方正仿宋_GBK" w:cs="方正仿宋_GBK"/>
                              <w:sz w:val="21"/>
                              <w:szCs w:val="21"/>
                            </w:rPr>
                            <w:fldChar w:fldCharType="end"/>
                          </w:r>
                        </w:p>
                      </w:txbxContent>
                    </wps:txbx>
                    <wps:bodyPr vert="horz" wrap="none" lIns="0" tIns="0" rIns="0" bIns="0" anchor="t" anchorCtr="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l5uc8AAAAFAQAA&#10;DwAAAAAAAAABACAAAAAiAAAAZHJzL2Rvd25yZXYueG1sUEsBAhQAFAAAAAgAh07iQAAGNTjpAQAA&#10;zAMAAA4AAAAAAAAAAQAgAAAAHgEAAGRycy9lMm9Eb2MueG1sUEsFBgAAAAAGAAYAWQEAAHkFAAAA&#10;AA==&#10;">
              <v:fill on="f" focussize="0,0"/>
              <v:stroke on="f"/>
              <v:imagedata o:title=""/>
              <o:lock v:ext="edit" aspectratio="f"/>
              <v:textbox inset="0mm,0mm,0mm,0mm" style="mso-fit-shape-to-text:t;">
                <w:txbxContent>
                  <w:p w14:paraId="4FDD436E">
                    <w:pPr>
                      <w:pStyle w:val="2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  \* MERGEFORMAT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t>13</w:t>
                    </w:r>
                    <w:r>
                      <w:rPr>
                        <w:rFonts w:hint="eastAsia" w:ascii="方正仿宋_GBK" w:hAnsi="方正仿宋_GBK" w:eastAsia="方正仿宋_GBK" w:cs="方正仿宋_GBK"/>
                        <w:sz w:val="21"/>
                        <w:szCs w:val="21"/>
                      </w:rPr>
                      <w:fldChar w:fldCharType="end"/>
                    </w:r>
                  </w:p>
                </w:txbxContent>
              </v:textbox>
            </v:shape>
          </w:pict>
        </mc:Fallback>
      </mc:AlternateContent>
    </w:r>
    <w:r>
      <w:rPr>
        <w:rFonts w:hint="eastAsia" w:ascii="方正仿宋_GBK" w:hAnsi="方正仿宋_GBK" w:eastAsia="方正仿宋_GBK" w:cs="方正仿宋_GBK"/>
        <w:sz w:val="21"/>
        <w:szCs w:val="21"/>
      </w:rPr>
      <w:t>巴中市江北大道西段凯悦名城9栋12楼                       联系电话：0827-8668888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67B79">
    <w:r>
      <w:rPr>
        <w:rFonts w:hint="eastAsia" w:ascii="方正仿宋_GBK" w:hAnsi="方正仿宋_GBK" w:eastAsia="方正仿宋_GBK" w:cs="方正仿宋_GBK"/>
        <w:szCs w:val="21"/>
      </w:rPr>
      <w:drawing>
        <wp:inline distT="0" distB="0" distL="114300" distR="114300">
          <wp:extent cx="740410" cy="264795"/>
          <wp:effectExtent l="0" t="0" r="2540" b="190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
                  <a:stretch>
                    <a:fillRect/>
                  </a:stretch>
                </pic:blipFill>
                <pic:spPr>
                  <a:xfrm>
                    <a:off x="0" y="0"/>
                    <a:ext cx="740410" cy="264795"/>
                  </a:xfrm>
                  <a:prstGeom prst="rect">
                    <a:avLst/>
                  </a:prstGeom>
                  <a:noFill/>
                  <a:ln>
                    <a:noFill/>
                  </a:ln>
                </pic:spPr>
              </pic:pic>
            </a:graphicData>
          </a:graphic>
        </wp:inline>
      </w:drawing>
    </w:r>
    <w:r>
      <w:rPr>
        <w:rFonts w:hint="eastAsia" w:ascii="方正仿宋_GBK" w:hAnsi="方正仿宋_GBK" w:eastAsia="方正仿宋_GBK" w:cs="方正仿宋_GBK"/>
        <w:szCs w:val="21"/>
      </w:rPr>
      <w:t>四川振嘉工程招标代理有限公司                    专业·诚信·合力创新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08A1FA"/>
    <w:multiLevelType w:val="singleLevel"/>
    <w:tmpl w:val="D008A1FA"/>
    <w:lvl w:ilvl="0" w:tentative="0">
      <w:start w:val="1"/>
      <w:numFmt w:val="decimal"/>
      <w:suff w:val="nothing"/>
      <w:lvlText w:val="（%1）"/>
      <w:lvlJc w:val="left"/>
    </w:lvl>
  </w:abstractNum>
  <w:abstractNum w:abstractNumId="1">
    <w:nsid w:val="E1F23A10"/>
    <w:multiLevelType w:val="singleLevel"/>
    <w:tmpl w:val="E1F23A10"/>
    <w:lvl w:ilvl="0" w:tentative="0">
      <w:start w:val="2"/>
      <w:numFmt w:val="chineseCounting"/>
      <w:suff w:val="nothing"/>
      <w:lvlText w:val="（%1）"/>
      <w:lvlJc w:val="left"/>
      <w:rPr>
        <w:rFonts w:hint="eastAsia"/>
      </w:rPr>
    </w:lvl>
  </w:abstractNum>
  <w:abstractNum w:abstractNumId="2">
    <w:nsid w:val="6041EA86"/>
    <w:multiLevelType w:val="singleLevel"/>
    <w:tmpl w:val="6041EA86"/>
    <w:lvl w:ilvl="0" w:tentative="0">
      <w:start w:val="2"/>
      <w:numFmt w:val="chineseCounting"/>
      <w:suff w:val="nothing"/>
      <w:lvlText w:val="第%1条"/>
      <w:lvlJc w:val="left"/>
    </w:lvl>
  </w:abstractNum>
  <w:abstractNum w:abstractNumId="3">
    <w:nsid w:val="68B58344"/>
    <w:multiLevelType w:val="singleLevel"/>
    <w:tmpl w:val="68B58344"/>
    <w:lvl w:ilvl="0" w:tentative="0">
      <w:start w:val="1"/>
      <w:numFmt w:val="chineseCounting"/>
      <w:suff w:val="nothing"/>
      <w:lvlText w:val="（%1）"/>
      <w:lvlJc w:val="left"/>
      <w:pPr>
        <w:ind w:left="0" w:firstLine="420"/>
      </w:pPr>
      <w:rPr>
        <w:rFonts w:hint="eastAsia"/>
      </w:rPr>
    </w:lvl>
  </w:abstractNum>
  <w:abstractNum w:abstractNumId="4">
    <w:nsid w:val="740A6897"/>
    <w:multiLevelType w:val="multilevel"/>
    <w:tmpl w:val="740A6897"/>
    <w:lvl w:ilvl="0" w:tentative="0">
      <w:start w:val="1"/>
      <w:numFmt w:val="decimal"/>
      <w:lvlText w:val="%1"/>
      <w:lvlJc w:val="left"/>
      <w:pPr>
        <w:ind w:left="432" w:hanging="432"/>
      </w:pPr>
      <w:rPr>
        <w:rFonts w:hint="eastAsia"/>
        <w:lang w:val="en-US"/>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pStyle w:val="6"/>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kODg4NWQ5MGRhYjQyOWFjNGU4ZWExYjEwN2Y5ZTEifQ=="/>
  </w:docVars>
  <w:rsids>
    <w:rsidRoot w:val="00172A27"/>
    <w:rsid w:val="00000F91"/>
    <w:rsid w:val="00037576"/>
    <w:rsid w:val="0005506D"/>
    <w:rsid w:val="0009541C"/>
    <w:rsid w:val="000A7E4C"/>
    <w:rsid w:val="000B70D5"/>
    <w:rsid w:val="000E4FF5"/>
    <w:rsid w:val="000F73D3"/>
    <w:rsid w:val="00143976"/>
    <w:rsid w:val="00167CE6"/>
    <w:rsid w:val="00172A27"/>
    <w:rsid w:val="001A2A67"/>
    <w:rsid w:val="001F37CB"/>
    <w:rsid w:val="002726CF"/>
    <w:rsid w:val="00283C96"/>
    <w:rsid w:val="002B5279"/>
    <w:rsid w:val="0032361A"/>
    <w:rsid w:val="003414E4"/>
    <w:rsid w:val="003552E3"/>
    <w:rsid w:val="00361331"/>
    <w:rsid w:val="00366455"/>
    <w:rsid w:val="003703BD"/>
    <w:rsid w:val="00420F71"/>
    <w:rsid w:val="00450F1F"/>
    <w:rsid w:val="004A52F3"/>
    <w:rsid w:val="004B6CB2"/>
    <w:rsid w:val="004E30E9"/>
    <w:rsid w:val="00503C59"/>
    <w:rsid w:val="00557F17"/>
    <w:rsid w:val="005C70E9"/>
    <w:rsid w:val="00644CD9"/>
    <w:rsid w:val="006646F9"/>
    <w:rsid w:val="006827CA"/>
    <w:rsid w:val="00697118"/>
    <w:rsid w:val="006C22BB"/>
    <w:rsid w:val="006F38C5"/>
    <w:rsid w:val="007066AD"/>
    <w:rsid w:val="00715DF4"/>
    <w:rsid w:val="007300DC"/>
    <w:rsid w:val="00770FA3"/>
    <w:rsid w:val="00795614"/>
    <w:rsid w:val="007D2331"/>
    <w:rsid w:val="00804D29"/>
    <w:rsid w:val="00810441"/>
    <w:rsid w:val="008463FC"/>
    <w:rsid w:val="008734C4"/>
    <w:rsid w:val="00934D40"/>
    <w:rsid w:val="00955F54"/>
    <w:rsid w:val="00967474"/>
    <w:rsid w:val="00990AC6"/>
    <w:rsid w:val="009D325E"/>
    <w:rsid w:val="009F5E0F"/>
    <w:rsid w:val="00A211E0"/>
    <w:rsid w:val="00A47206"/>
    <w:rsid w:val="00A761F0"/>
    <w:rsid w:val="00AA4B45"/>
    <w:rsid w:val="00AF7A8E"/>
    <w:rsid w:val="00B22761"/>
    <w:rsid w:val="00B27B73"/>
    <w:rsid w:val="00B31A0C"/>
    <w:rsid w:val="00B3277B"/>
    <w:rsid w:val="00B53540"/>
    <w:rsid w:val="00BE2634"/>
    <w:rsid w:val="00BE2CD7"/>
    <w:rsid w:val="00BE55C5"/>
    <w:rsid w:val="00C037D3"/>
    <w:rsid w:val="00C12D29"/>
    <w:rsid w:val="00C467DF"/>
    <w:rsid w:val="00C62D7B"/>
    <w:rsid w:val="00C63201"/>
    <w:rsid w:val="00CC2322"/>
    <w:rsid w:val="00CD5584"/>
    <w:rsid w:val="00CD5BFC"/>
    <w:rsid w:val="00CF374D"/>
    <w:rsid w:val="00D011AC"/>
    <w:rsid w:val="00D0208E"/>
    <w:rsid w:val="00DD3A4D"/>
    <w:rsid w:val="00DE3C37"/>
    <w:rsid w:val="00DF4AE1"/>
    <w:rsid w:val="00DF6DF9"/>
    <w:rsid w:val="00E53750"/>
    <w:rsid w:val="00EF3516"/>
    <w:rsid w:val="00F43515"/>
    <w:rsid w:val="00F85A51"/>
    <w:rsid w:val="00FA640A"/>
    <w:rsid w:val="00FE5A59"/>
    <w:rsid w:val="01156757"/>
    <w:rsid w:val="016D3AE5"/>
    <w:rsid w:val="02037CE2"/>
    <w:rsid w:val="020442FF"/>
    <w:rsid w:val="02D62D89"/>
    <w:rsid w:val="033849AB"/>
    <w:rsid w:val="039B4BCA"/>
    <w:rsid w:val="03D67C6E"/>
    <w:rsid w:val="047E7086"/>
    <w:rsid w:val="049C230D"/>
    <w:rsid w:val="04F43F68"/>
    <w:rsid w:val="051B3B9E"/>
    <w:rsid w:val="05CE3DDC"/>
    <w:rsid w:val="05D209FC"/>
    <w:rsid w:val="068A6D20"/>
    <w:rsid w:val="07667D92"/>
    <w:rsid w:val="079601DB"/>
    <w:rsid w:val="07BD28E7"/>
    <w:rsid w:val="08483E1E"/>
    <w:rsid w:val="085C6AEE"/>
    <w:rsid w:val="08985632"/>
    <w:rsid w:val="08D15069"/>
    <w:rsid w:val="096B5FE2"/>
    <w:rsid w:val="0A905466"/>
    <w:rsid w:val="0AFA3217"/>
    <w:rsid w:val="0C122745"/>
    <w:rsid w:val="0CF32131"/>
    <w:rsid w:val="0D2546FA"/>
    <w:rsid w:val="0D7F5D98"/>
    <w:rsid w:val="0E107158"/>
    <w:rsid w:val="0E1250C5"/>
    <w:rsid w:val="0E377BE4"/>
    <w:rsid w:val="0EDD1D3C"/>
    <w:rsid w:val="0EF02063"/>
    <w:rsid w:val="10727C56"/>
    <w:rsid w:val="11D7046D"/>
    <w:rsid w:val="11F27D13"/>
    <w:rsid w:val="121205B6"/>
    <w:rsid w:val="13095F5B"/>
    <w:rsid w:val="13D635A2"/>
    <w:rsid w:val="14F94F18"/>
    <w:rsid w:val="151D7482"/>
    <w:rsid w:val="15386E66"/>
    <w:rsid w:val="156F5A43"/>
    <w:rsid w:val="16237159"/>
    <w:rsid w:val="169D0B26"/>
    <w:rsid w:val="17342109"/>
    <w:rsid w:val="173F626C"/>
    <w:rsid w:val="17AB4CC3"/>
    <w:rsid w:val="17AF720B"/>
    <w:rsid w:val="17BE22CA"/>
    <w:rsid w:val="18240109"/>
    <w:rsid w:val="1840688C"/>
    <w:rsid w:val="19626C39"/>
    <w:rsid w:val="19707050"/>
    <w:rsid w:val="19E56DD6"/>
    <w:rsid w:val="1A2322CE"/>
    <w:rsid w:val="1A4B740D"/>
    <w:rsid w:val="1AB41D0B"/>
    <w:rsid w:val="1AEB1C42"/>
    <w:rsid w:val="1B180DD0"/>
    <w:rsid w:val="1B424F2A"/>
    <w:rsid w:val="1B9A7C34"/>
    <w:rsid w:val="1CEF1C9A"/>
    <w:rsid w:val="1E0279B1"/>
    <w:rsid w:val="1E413AA8"/>
    <w:rsid w:val="1E6D5441"/>
    <w:rsid w:val="1ED8781E"/>
    <w:rsid w:val="1FBF5098"/>
    <w:rsid w:val="1FDC43D2"/>
    <w:rsid w:val="21997734"/>
    <w:rsid w:val="21E061FD"/>
    <w:rsid w:val="2209295A"/>
    <w:rsid w:val="222E1ACF"/>
    <w:rsid w:val="24410F93"/>
    <w:rsid w:val="24E546CD"/>
    <w:rsid w:val="24EF18B0"/>
    <w:rsid w:val="24EF7CEA"/>
    <w:rsid w:val="24FC0B0B"/>
    <w:rsid w:val="25B52667"/>
    <w:rsid w:val="25E12EF5"/>
    <w:rsid w:val="25E20968"/>
    <w:rsid w:val="266C6D2A"/>
    <w:rsid w:val="27EB411E"/>
    <w:rsid w:val="27F42E4F"/>
    <w:rsid w:val="28E0448E"/>
    <w:rsid w:val="292A3944"/>
    <w:rsid w:val="29C35362"/>
    <w:rsid w:val="2A7B43AE"/>
    <w:rsid w:val="2A834AE2"/>
    <w:rsid w:val="2BBF5FEE"/>
    <w:rsid w:val="2CF66676"/>
    <w:rsid w:val="2D1E1AA9"/>
    <w:rsid w:val="2DD03B68"/>
    <w:rsid w:val="2EC33BE8"/>
    <w:rsid w:val="2FAE777B"/>
    <w:rsid w:val="30993201"/>
    <w:rsid w:val="30C9346B"/>
    <w:rsid w:val="30E45A6F"/>
    <w:rsid w:val="316E42C2"/>
    <w:rsid w:val="318339D6"/>
    <w:rsid w:val="31921B57"/>
    <w:rsid w:val="32224A65"/>
    <w:rsid w:val="32920FD6"/>
    <w:rsid w:val="32A65FD7"/>
    <w:rsid w:val="32FA17D0"/>
    <w:rsid w:val="3328400E"/>
    <w:rsid w:val="33475D6B"/>
    <w:rsid w:val="33961780"/>
    <w:rsid w:val="33AF2F9D"/>
    <w:rsid w:val="34060A77"/>
    <w:rsid w:val="359D3F45"/>
    <w:rsid w:val="36B43619"/>
    <w:rsid w:val="36E32390"/>
    <w:rsid w:val="399009B2"/>
    <w:rsid w:val="39EF05A2"/>
    <w:rsid w:val="39F51522"/>
    <w:rsid w:val="3A95314A"/>
    <w:rsid w:val="3AF13C3D"/>
    <w:rsid w:val="3B7965CD"/>
    <w:rsid w:val="3C122C2A"/>
    <w:rsid w:val="3CA13BED"/>
    <w:rsid w:val="3CBB635D"/>
    <w:rsid w:val="3CE726A1"/>
    <w:rsid w:val="3D036FC0"/>
    <w:rsid w:val="3D596B10"/>
    <w:rsid w:val="3D5E0CEB"/>
    <w:rsid w:val="3DE546C0"/>
    <w:rsid w:val="3E8044ED"/>
    <w:rsid w:val="3FF56653"/>
    <w:rsid w:val="408B2A06"/>
    <w:rsid w:val="40A04B46"/>
    <w:rsid w:val="41342993"/>
    <w:rsid w:val="4135122C"/>
    <w:rsid w:val="413F495F"/>
    <w:rsid w:val="41D23E80"/>
    <w:rsid w:val="420A5691"/>
    <w:rsid w:val="42470BBB"/>
    <w:rsid w:val="42484FE9"/>
    <w:rsid w:val="42CD2946"/>
    <w:rsid w:val="42F81943"/>
    <w:rsid w:val="43972F00"/>
    <w:rsid w:val="44B72CCB"/>
    <w:rsid w:val="450A1E65"/>
    <w:rsid w:val="45F279A9"/>
    <w:rsid w:val="4603126E"/>
    <w:rsid w:val="47685CCC"/>
    <w:rsid w:val="47C337F0"/>
    <w:rsid w:val="47DF504C"/>
    <w:rsid w:val="487F030A"/>
    <w:rsid w:val="488F5890"/>
    <w:rsid w:val="49023F8D"/>
    <w:rsid w:val="49366D6C"/>
    <w:rsid w:val="49CD0D54"/>
    <w:rsid w:val="4A880170"/>
    <w:rsid w:val="4A9C3808"/>
    <w:rsid w:val="4BF239BB"/>
    <w:rsid w:val="4C964C57"/>
    <w:rsid w:val="4CC5453C"/>
    <w:rsid w:val="4CEB30D0"/>
    <w:rsid w:val="4F5575B8"/>
    <w:rsid w:val="4FAB2E59"/>
    <w:rsid w:val="4FC4241C"/>
    <w:rsid w:val="504D63EB"/>
    <w:rsid w:val="507A5F8E"/>
    <w:rsid w:val="51B004A6"/>
    <w:rsid w:val="51B202D4"/>
    <w:rsid w:val="52081BED"/>
    <w:rsid w:val="52EF6909"/>
    <w:rsid w:val="531445C2"/>
    <w:rsid w:val="53607807"/>
    <w:rsid w:val="53742E5C"/>
    <w:rsid w:val="53D73908"/>
    <w:rsid w:val="5417345D"/>
    <w:rsid w:val="54182557"/>
    <w:rsid w:val="545879F8"/>
    <w:rsid w:val="54EE4488"/>
    <w:rsid w:val="550F0041"/>
    <w:rsid w:val="553E0876"/>
    <w:rsid w:val="55FA184D"/>
    <w:rsid w:val="56202757"/>
    <w:rsid w:val="56442BBB"/>
    <w:rsid w:val="56E56CB1"/>
    <w:rsid w:val="572D1669"/>
    <w:rsid w:val="574B347F"/>
    <w:rsid w:val="57A20F16"/>
    <w:rsid w:val="57BA4B5E"/>
    <w:rsid w:val="57D34819"/>
    <w:rsid w:val="5825522E"/>
    <w:rsid w:val="59B71722"/>
    <w:rsid w:val="5A3B12F6"/>
    <w:rsid w:val="5A8E07B6"/>
    <w:rsid w:val="5BF76D7E"/>
    <w:rsid w:val="5C4C6E41"/>
    <w:rsid w:val="5C877BB2"/>
    <w:rsid w:val="5EE428ED"/>
    <w:rsid w:val="5F9F09A2"/>
    <w:rsid w:val="60067EFC"/>
    <w:rsid w:val="601E51C7"/>
    <w:rsid w:val="613C20BE"/>
    <w:rsid w:val="61B8044E"/>
    <w:rsid w:val="61C3168D"/>
    <w:rsid w:val="61F75FB6"/>
    <w:rsid w:val="623E13B8"/>
    <w:rsid w:val="6247210C"/>
    <w:rsid w:val="62917AA2"/>
    <w:rsid w:val="62DE4402"/>
    <w:rsid w:val="62F642FE"/>
    <w:rsid w:val="63967E47"/>
    <w:rsid w:val="6417097E"/>
    <w:rsid w:val="643C03C0"/>
    <w:rsid w:val="64801FB8"/>
    <w:rsid w:val="64C0359C"/>
    <w:rsid w:val="64DD7083"/>
    <w:rsid w:val="65026EF8"/>
    <w:rsid w:val="65B25557"/>
    <w:rsid w:val="68591702"/>
    <w:rsid w:val="687162A3"/>
    <w:rsid w:val="689F78F0"/>
    <w:rsid w:val="696F1D86"/>
    <w:rsid w:val="6A2227BF"/>
    <w:rsid w:val="6A4F3D78"/>
    <w:rsid w:val="6A536C94"/>
    <w:rsid w:val="6AB22299"/>
    <w:rsid w:val="6AFA5111"/>
    <w:rsid w:val="6B59096C"/>
    <w:rsid w:val="6BF449CD"/>
    <w:rsid w:val="6D4D7655"/>
    <w:rsid w:val="6DC40666"/>
    <w:rsid w:val="6E3F02ED"/>
    <w:rsid w:val="6EFC7F8C"/>
    <w:rsid w:val="6F762728"/>
    <w:rsid w:val="6F962EBD"/>
    <w:rsid w:val="6FB36CAD"/>
    <w:rsid w:val="70375D6A"/>
    <w:rsid w:val="7045438D"/>
    <w:rsid w:val="705902FC"/>
    <w:rsid w:val="706F1065"/>
    <w:rsid w:val="709D419A"/>
    <w:rsid w:val="70DF0AAD"/>
    <w:rsid w:val="712A52FE"/>
    <w:rsid w:val="716F055D"/>
    <w:rsid w:val="7197506A"/>
    <w:rsid w:val="725842A5"/>
    <w:rsid w:val="72DF6BA5"/>
    <w:rsid w:val="74675424"/>
    <w:rsid w:val="74F02341"/>
    <w:rsid w:val="750816EA"/>
    <w:rsid w:val="751F4DD3"/>
    <w:rsid w:val="75233732"/>
    <w:rsid w:val="75AE4E70"/>
    <w:rsid w:val="763149BF"/>
    <w:rsid w:val="78927AFF"/>
    <w:rsid w:val="78D930EC"/>
    <w:rsid w:val="7A333576"/>
    <w:rsid w:val="7A644851"/>
    <w:rsid w:val="7A6D41AF"/>
    <w:rsid w:val="7B533824"/>
    <w:rsid w:val="7B787792"/>
    <w:rsid w:val="7B9B3C37"/>
    <w:rsid w:val="7CA52CD0"/>
    <w:rsid w:val="7CC37FA4"/>
    <w:rsid w:val="7DCE74F6"/>
    <w:rsid w:val="7E3478FA"/>
    <w:rsid w:val="7E431E3A"/>
    <w:rsid w:val="7E7A6445"/>
    <w:rsid w:val="7E8835EA"/>
    <w:rsid w:val="7EED79F6"/>
    <w:rsid w:val="7FD603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autoRedefine/>
    <w:qFormat/>
    <w:uiPriority w:val="9"/>
    <w:pPr>
      <w:keepNext/>
      <w:keepLines/>
      <w:outlineLvl w:val="0"/>
    </w:pPr>
    <w:rPr>
      <w:rFonts w:eastAsia="方正仿宋_GBK" w:cs="方正仿宋_GBK"/>
      <w:b/>
      <w:kern w:val="44"/>
      <w:sz w:val="32"/>
      <w:szCs w:val="32"/>
    </w:rPr>
  </w:style>
  <w:style w:type="paragraph" w:styleId="4">
    <w:name w:val="heading 2"/>
    <w:basedOn w:val="1"/>
    <w:next w:val="1"/>
    <w:link w:val="41"/>
    <w:autoRedefine/>
    <w:qFormat/>
    <w:uiPriority w:val="0"/>
    <w:pPr>
      <w:keepNext/>
      <w:keepLines/>
      <w:spacing w:line="360" w:lineRule="auto"/>
      <w:outlineLvl w:val="1"/>
    </w:pPr>
    <w:rPr>
      <w:rFonts w:ascii="方正仿宋_GBK" w:hAnsi="方正仿宋_GBK" w:eastAsia="方正仿宋_GBK" w:cs="方正仿宋_GBK"/>
      <w:b/>
      <w:bCs/>
      <w:sz w:val="32"/>
      <w:szCs w:val="32"/>
    </w:rPr>
  </w:style>
  <w:style w:type="paragraph" w:styleId="5">
    <w:name w:val="heading 3"/>
    <w:basedOn w:val="1"/>
    <w:link w:val="42"/>
    <w:unhideWhenUsed/>
    <w:qFormat/>
    <w:uiPriority w:val="9"/>
    <w:pPr>
      <w:keepNext/>
      <w:keepLines/>
      <w:spacing w:line="412" w:lineRule="auto"/>
      <w:jc w:val="center"/>
      <w:outlineLvl w:val="2"/>
    </w:pPr>
    <w:rPr>
      <w:rFonts w:hint="eastAsia" w:ascii="方正仿宋_GBK" w:hAnsi="方正仿宋_GBK" w:eastAsia="方正仿宋_GBK" w:cs="Times New Roman"/>
      <w:b/>
      <w:bCs/>
      <w:kern w:val="0"/>
      <w:sz w:val="32"/>
      <w:szCs w:val="32"/>
    </w:rPr>
  </w:style>
  <w:style w:type="paragraph" w:styleId="6">
    <w:name w:val="heading 4"/>
    <w:basedOn w:val="7"/>
    <w:next w:val="1"/>
    <w:autoRedefine/>
    <w:qFormat/>
    <w:uiPriority w:val="0"/>
    <w:pPr>
      <w:keepNext/>
      <w:keepLines/>
      <w:numPr>
        <w:ilvl w:val="3"/>
        <w:numId w:val="1"/>
      </w:numPr>
      <w:spacing w:before="280" w:after="290" w:line="376" w:lineRule="auto"/>
      <w:outlineLvl w:val="3"/>
    </w:pPr>
    <w:rPr>
      <w:rFonts w:ascii="Cambria" w:hAnsi="Cambria"/>
      <w:b/>
      <w:bCs/>
      <w:sz w:val="28"/>
      <w:szCs w:val="28"/>
      <w:lang w:bidi="he-IL"/>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character" w:default="1" w:styleId="32">
    <w:name w:val="Default Paragraph Font"/>
    <w:autoRedefine/>
    <w:unhideWhenUsed/>
    <w:qFormat/>
    <w:uiPriority w:val="1"/>
  </w:style>
  <w:style w:type="table" w:default="1" w:styleId="30">
    <w:name w:val="Normal Table"/>
    <w:autoRedefine/>
    <w:unhideWhenUsed/>
    <w:qFormat/>
    <w:uiPriority w:val="99"/>
    <w:tblPr>
      <w:tblCellMar>
        <w:top w:w="0" w:type="dxa"/>
        <w:left w:w="108" w:type="dxa"/>
        <w:bottom w:w="0" w:type="dxa"/>
        <w:right w:w="108" w:type="dxa"/>
      </w:tblCellMar>
    </w:tblPr>
  </w:style>
  <w:style w:type="paragraph" w:customStyle="1" w:styleId="2">
    <w:name w:val="Heading2"/>
    <w:basedOn w:val="1"/>
    <w:next w:val="1"/>
    <w:autoRedefine/>
    <w:semiHidden/>
    <w:qFormat/>
    <w:uiPriority w:val="0"/>
    <w:pPr>
      <w:keepNext/>
      <w:keepLines/>
      <w:spacing w:before="260" w:after="260" w:line="416" w:lineRule="auto"/>
    </w:pPr>
    <w:rPr>
      <w:rFonts w:ascii="Cambria" w:hAnsi="Cambria" w:cs="Times New Roman"/>
      <w:b/>
      <w:bCs/>
      <w:sz w:val="32"/>
      <w:szCs w:val="32"/>
    </w:rPr>
  </w:style>
  <w:style w:type="paragraph" w:styleId="7">
    <w:name w:val="Body Text"/>
    <w:basedOn w:val="1"/>
    <w:next w:val="1"/>
    <w:link w:val="43"/>
    <w:autoRedefine/>
    <w:qFormat/>
    <w:uiPriority w:val="0"/>
    <w:pPr>
      <w:spacing w:after="120"/>
    </w:pPr>
    <w:rPr>
      <w:rFonts w:ascii="Times New Roman" w:hAnsi="Times New Roman" w:eastAsia="宋体" w:cs="Times New Roman"/>
      <w:szCs w:val="24"/>
    </w:rPr>
  </w:style>
  <w:style w:type="paragraph" w:styleId="9">
    <w:name w:val="toc 7"/>
    <w:basedOn w:val="1"/>
    <w:next w:val="1"/>
    <w:autoRedefine/>
    <w:unhideWhenUsed/>
    <w:qFormat/>
    <w:uiPriority w:val="39"/>
    <w:pPr>
      <w:ind w:left="2520" w:leftChars="1200"/>
    </w:pPr>
  </w:style>
  <w:style w:type="paragraph" w:styleId="10">
    <w:name w:val="index 8"/>
    <w:basedOn w:val="1"/>
    <w:next w:val="1"/>
    <w:autoRedefine/>
    <w:unhideWhenUsed/>
    <w:qFormat/>
    <w:uiPriority w:val="99"/>
    <w:pPr>
      <w:spacing w:line="240" w:lineRule="auto"/>
      <w:ind w:left="1400" w:leftChars="1400" w:firstLine="0" w:firstLineChars="0"/>
    </w:pPr>
    <w:rPr>
      <w:rFonts w:ascii="Times New Roman" w:hAnsi="Times New Roman"/>
      <w:kern w:val="2"/>
      <w:sz w:val="21"/>
      <w:szCs w:val="24"/>
    </w:rPr>
  </w:style>
  <w:style w:type="paragraph" w:styleId="11">
    <w:name w:val="Normal Indent"/>
    <w:basedOn w:val="1"/>
    <w:next w:val="1"/>
    <w:qFormat/>
    <w:uiPriority w:val="0"/>
    <w:pPr>
      <w:ind w:firstLine="420" w:firstLineChars="200"/>
    </w:pPr>
  </w:style>
  <w:style w:type="paragraph" w:styleId="12">
    <w:name w:val="Document Map"/>
    <w:basedOn w:val="1"/>
    <w:link w:val="44"/>
    <w:autoRedefine/>
    <w:unhideWhenUsed/>
    <w:qFormat/>
    <w:uiPriority w:val="99"/>
    <w:rPr>
      <w:rFonts w:ascii="宋体" w:eastAsia="宋体"/>
      <w:sz w:val="18"/>
      <w:szCs w:val="18"/>
    </w:rPr>
  </w:style>
  <w:style w:type="paragraph" w:styleId="13">
    <w:name w:val="annotation text"/>
    <w:basedOn w:val="1"/>
    <w:link w:val="45"/>
    <w:autoRedefine/>
    <w:unhideWhenUsed/>
    <w:qFormat/>
    <w:uiPriority w:val="99"/>
    <w:pPr>
      <w:jc w:val="left"/>
    </w:pPr>
  </w:style>
  <w:style w:type="paragraph" w:styleId="14">
    <w:name w:val="Body Text 3"/>
    <w:basedOn w:val="1"/>
    <w:autoRedefine/>
    <w:qFormat/>
    <w:uiPriority w:val="99"/>
    <w:pPr>
      <w:widowControl/>
      <w:jc w:val="center"/>
    </w:pPr>
    <w:rPr>
      <w:rFonts w:hAnsi="Symbol"/>
      <w:sz w:val="10"/>
      <w:szCs w:val="10"/>
    </w:rPr>
  </w:style>
  <w:style w:type="paragraph" w:styleId="15">
    <w:name w:val="Block Text"/>
    <w:basedOn w:val="1"/>
    <w:autoRedefine/>
    <w:qFormat/>
    <w:uiPriority w:val="0"/>
    <w:pPr>
      <w:ind w:left="1440" w:leftChars="700" w:right="700" w:rightChars="700"/>
    </w:pPr>
  </w:style>
  <w:style w:type="paragraph" w:styleId="16">
    <w:name w:val="toc 5"/>
    <w:basedOn w:val="1"/>
    <w:next w:val="1"/>
    <w:autoRedefine/>
    <w:unhideWhenUsed/>
    <w:qFormat/>
    <w:uiPriority w:val="39"/>
    <w:pPr>
      <w:ind w:left="1680" w:leftChars="800"/>
    </w:pPr>
  </w:style>
  <w:style w:type="paragraph" w:styleId="17">
    <w:name w:val="toc 3"/>
    <w:basedOn w:val="1"/>
    <w:next w:val="1"/>
    <w:unhideWhenUsed/>
    <w:qFormat/>
    <w:uiPriority w:val="39"/>
    <w:pPr>
      <w:ind w:left="840" w:leftChars="400"/>
    </w:pPr>
  </w:style>
  <w:style w:type="paragraph" w:styleId="18">
    <w:name w:val="toc 8"/>
    <w:basedOn w:val="1"/>
    <w:next w:val="1"/>
    <w:autoRedefine/>
    <w:unhideWhenUsed/>
    <w:qFormat/>
    <w:uiPriority w:val="39"/>
    <w:pPr>
      <w:ind w:left="2940" w:leftChars="1400"/>
    </w:pPr>
  </w:style>
  <w:style w:type="paragraph" w:styleId="19">
    <w:name w:val="Balloon Text"/>
    <w:basedOn w:val="1"/>
    <w:link w:val="46"/>
    <w:autoRedefine/>
    <w:unhideWhenUsed/>
    <w:qFormat/>
    <w:uiPriority w:val="99"/>
    <w:rPr>
      <w:sz w:val="18"/>
      <w:szCs w:val="18"/>
    </w:rPr>
  </w:style>
  <w:style w:type="paragraph" w:styleId="20">
    <w:name w:val="footer"/>
    <w:basedOn w:val="1"/>
    <w:link w:val="47"/>
    <w:autoRedefine/>
    <w:unhideWhenUsed/>
    <w:qFormat/>
    <w:uiPriority w:val="99"/>
    <w:pPr>
      <w:tabs>
        <w:tab w:val="center" w:pos="4153"/>
        <w:tab w:val="right" w:pos="8306"/>
      </w:tabs>
      <w:snapToGrid w:val="0"/>
      <w:jc w:val="left"/>
    </w:pPr>
    <w:rPr>
      <w:sz w:val="18"/>
      <w:szCs w:val="18"/>
    </w:rPr>
  </w:style>
  <w:style w:type="paragraph" w:styleId="21">
    <w:name w:val="header"/>
    <w:basedOn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unhideWhenUsed/>
    <w:qFormat/>
    <w:uiPriority w:val="39"/>
  </w:style>
  <w:style w:type="paragraph" w:styleId="23">
    <w:name w:val="toc 4"/>
    <w:basedOn w:val="1"/>
    <w:next w:val="1"/>
    <w:autoRedefine/>
    <w:unhideWhenUsed/>
    <w:qFormat/>
    <w:uiPriority w:val="39"/>
    <w:pPr>
      <w:ind w:left="1260" w:leftChars="600"/>
    </w:pPr>
  </w:style>
  <w:style w:type="paragraph" w:styleId="24">
    <w:name w:val="Subtitle"/>
    <w:basedOn w:val="1"/>
    <w:next w:val="1"/>
    <w:autoRedefine/>
    <w:qFormat/>
    <w:uiPriority w:val="0"/>
    <w:rPr>
      <w:sz w:val="28"/>
    </w:rPr>
  </w:style>
  <w:style w:type="paragraph" w:styleId="25">
    <w:name w:val="toc 6"/>
    <w:basedOn w:val="1"/>
    <w:next w:val="1"/>
    <w:autoRedefine/>
    <w:unhideWhenUsed/>
    <w:qFormat/>
    <w:uiPriority w:val="39"/>
    <w:pPr>
      <w:ind w:left="2100" w:leftChars="1000"/>
    </w:pPr>
  </w:style>
  <w:style w:type="paragraph" w:styleId="26">
    <w:name w:val="toc 2"/>
    <w:basedOn w:val="1"/>
    <w:next w:val="1"/>
    <w:autoRedefine/>
    <w:unhideWhenUsed/>
    <w:qFormat/>
    <w:uiPriority w:val="39"/>
    <w:pPr>
      <w:ind w:left="420" w:leftChars="200"/>
    </w:pPr>
  </w:style>
  <w:style w:type="paragraph" w:styleId="27">
    <w:name w:val="toc 9"/>
    <w:basedOn w:val="1"/>
    <w:next w:val="1"/>
    <w:autoRedefine/>
    <w:unhideWhenUsed/>
    <w:qFormat/>
    <w:uiPriority w:val="39"/>
    <w:pPr>
      <w:ind w:left="3360" w:leftChars="1600"/>
    </w:pPr>
  </w:style>
  <w:style w:type="paragraph" w:styleId="28">
    <w:name w:val="annotation subject"/>
    <w:basedOn w:val="13"/>
    <w:next w:val="13"/>
    <w:link w:val="49"/>
    <w:unhideWhenUsed/>
    <w:qFormat/>
    <w:uiPriority w:val="99"/>
    <w:rPr>
      <w:b/>
      <w:bCs/>
    </w:rPr>
  </w:style>
  <w:style w:type="paragraph" w:styleId="29">
    <w:name w:val="Body Text First Indent"/>
    <w:basedOn w:val="7"/>
    <w:autoRedefine/>
    <w:unhideWhenUsed/>
    <w:qFormat/>
    <w:uiPriority w:val="99"/>
    <w:pPr>
      <w:ind w:firstLine="420" w:firstLineChars="100"/>
    </w:pPr>
  </w:style>
  <w:style w:type="table" w:styleId="31">
    <w:name w:val="Table Grid"/>
    <w:basedOn w:val="3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autoRedefine/>
    <w:qFormat/>
    <w:uiPriority w:val="22"/>
    <w:rPr>
      <w:b/>
    </w:rPr>
  </w:style>
  <w:style w:type="character" w:styleId="34">
    <w:name w:val="FollowedHyperlink"/>
    <w:basedOn w:val="32"/>
    <w:unhideWhenUsed/>
    <w:qFormat/>
    <w:uiPriority w:val="99"/>
    <w:rPr>
      <w:color w:val="3D3D3D"/>
      <w:u w:val="none"/>
    </w:rPr>
  </w:style>
  <w:style w:type="character" w:styleId="35">
    <w:name w:val="HTML Definition"/>
    <w:basedOn w:val="32"/>
    <w:unhideWhenUsed/>
    <w:qFormat/>
    <w:uiPriority w:val="99"/>
  </w:style>
  <w:style w:type="character" w:styleId="36">
    <w:name w:val="HTML Variable"/>
    <w:basedOn w:val="32"/>
    <w:autoRedefine/>
    <w:unhideWhenUsed/>
    <w:qFormat/>
    <w:uiPriority w:val="99"/>
  </w:style>
  <w:style w:type="character" w:styleId="37">
    <w:name w:val="Hyperlink"/>
    <w:basedOn w:val="32"/>
    <w:autoRedefine/>
    <w:unhideWhenUsed/>
    <w:qFormat/>
    <w:uiPriority w:val="99"/>
    <w:rPr>
      <w:color w:val="3D3D3D"/>
      <w:u w:val="none"/>
    </w:rPr>
  </w:style>
  <w:style w:type="character" w:styleId="38">
    <w:name w:val="HTML Code"/>
    <w:basedOn w:val="32"/>
    <w:autoRedefine/>
    <w:unhideWhenUsed/>
    <w:qFormat/>
    <w:uiPriority w:val="99"/>
    <w:rPr>
      <w:rFonts w:ascii="Courier New" w:hAnsi="Courier New"/>
      <w:sz w:val="20"/>
    </w:rPr>
  </w:style>
  <w:style w:type="character" w:styleId="39">
    <w:name w:val="annotation reference"/>
    <w:basedOn w:val="32"/>
    <w:autoRedefine/>
    <w:unhideWhenUsed/>
    <w:qFormat/>
    <w:uiPriority w:val="99"/>
    <w:rPr>
      <w:sz w:val="21"/>
      <w:szCs w:val="21"/>
    </w:rPr>
  </w:style>
  <w:style w:type="character" w:styleId="40">
    <w:name w:val="HTML Cite"/>
    <w:basedOn w:val="32"/>
    <w:autoRedefine/>
    <w:unhideWhenUsed/>
    <w:qFormat/>
    <w:uiPriority w:val="99"/>
  </w:style>
  <w:style w:type="character" w:customStyle="1" w:styleId="41">
    <w:name w:val="标题 2 字符"/>
    <w:basedOn w:val="32"/>
    <w:link w:val="4"/>
    <w:autoRedefine/>
    <w:qFormat/>
    <w:uiPriority w:val="0"/>
    <w:rPr>
      <w:rFonts w:ascii="方正仿宋_GBK" w:hAnsi="方正仿宋_GBK" w:eastAsia="方正仿宋_GBK" w:cs="方正仿宋_GBK"/>
      <w:b/>
      <w:bCs/>
      <w:sz w:val="32"/>
      <w:szCs w:val="32"/>
    </w:rPr>
  </w:style>
  <w:style w:type="character" w:customStyle="1" w:styleId="42">
    <w:name w:val="标题 3 字符"/>
    <w:basedOn w:val="32"/>
    <w:link w:val="5"/>
    <w:autoRedefine/>
    <w:qFormat/>
    <w:uiPriority w:val="0"/>
    <w:rPr>
      <w:rFonts w:hint="eastAsia" w:ascii="方正仿宋_GBK" w:hAnsi="方正仿宋_GBK" w:eastAsia="方正仿宋_GBK" w:cs="方正仿宋_GBK"/>
      <w:b/>
      <w:bCs/>
      <w:sz w:val="32"/>
      <w:szCs w:val="32"/>
    </w:rPr>
  </w:style>
  <w:style w:type="character" w:customStyle="1" w:styleId="43">
    <w:name w:val="正文文本 字符1"/>
    <w:basedOn w:val="32"/>
    <w:link w:val="7"/>
    <w:autoRedefine/>
    <w:qFormat/>
    <w:uiPriority w:val="0"/>
    <w:rPr>
      <w:rFonts w:hint="eastAsia" w:ascii="方正仿宋_GBK" w:hAnsi="方正仿宋_GBK" w:eastAsia="方正仿宋_GBK" w:cs="方正仿宋_GBK"/>
      <w:kern w:val="2"/>
      <w:sz w:val="28"/>
      <w:szCs w:val="22"/>
    </w:rPr>
  </w:style>
  <w:style w:type="character" w:customStyle="1" w:styleId="44">
    <w:name w:val="文档结构图 字符"/>
    <w:basedOn w:val="32"/>
    <w:link w:val="12"/>
    <w:autoRedefine/>
    <w:semiHidden/>
    <w:qFormat/>
    <w:uiPriority w:val="99"/>
    <w:rPr>
      <w:rFonts w:ascii="宋体" w:eastAsia="宋体"/>
      <w:kern w:val="2"/>
      <w:sz w:val="18"/>
      <w:szCs w:val="18"/>
    </w:rPr>
  </w:style>
  <w:style w:type="character" w:customStyle="1" w:styleId="45">
    <w:name w:val="批注文字 字符"/>
    <w:basedOn w:val="32"/>
    <w:link w:val="13"/>
    <w:autoRedefine/>
    <w:semiHidden/>
    <w:qFormat/>
    <w:uiPriority w:val="99"/>
    <w:rPr>
      <w:rFonts w:ascii="Calibri" w:hAnsi="Calibri" w:eastAsia="宋体" w:cs="Times New Roman"/>
      <w:kern w:val="2"/>
      <w:sz w:val="21"/>
      <w:szCs w:val="22"/>
    </w:rPr>
  </w:style>
  <w:style w:type="character" w:customStyle="1" w:styleId="46">
    <w:name w:val="批注框文本 字符"/>
    <w:basedOn w:val="32"/>
    <w:link w:val="19"/>
    <w:autoRedefine/>
    <w:semiHidden/>
    <w:qFormat/>
    <w:uiPriority w:val="99"/>
    <w:rPr>
      <w:kern w:val="2"/>
      <w:sz w:val="18"/>
      <w:szCs w:val="18"/>
    </w:rPr>
  </w:style>
  <w:style w:type="character" w:customStyle="1" w:styleId="47">
    <w:name w:val="页脚 字符"/>
    <w:basedOn w:val="32"/>
    <w:link w:val="20"/>
    <w:autoRedefine/>
    <w:qFormat/>
    <w:uiPriority w:val="99"/>
    <w:rPr>
      <w:sz w:val="18"/>
      <w:szCs w:val="18"/>
    </w:rPr>
  </w:style>
  <w:style w:type="character" w:customStyle="1" w:styleId="48">
    <w:name w:val="页眉 字符"/>
    <w:basedOn w:val="32"/>
    <w:link w:val="21"/>
    <w:autoRedefine/>
    <w:semiHidden/>
    <w:qFormat/>
    <w:uiPriority w:val="99"/>
    <w:rPr>
      <w:kern w:val="2"/>
      <w:sz w:val="18"/>
      <w:szCs w:val="18"/>
    </w:rPr>
  </w:style>
  <w:style w:type="character" w:customStyle="1" w:styleId="49">
    <w:name w:val="批注主题 字符"/>
    <w:basedOn w:val="45"/>
    <w:link w:val="28"/>
    <w:autoRedefine/>
    <w:semiHidden/>
    <w:qFormat/>
    <w:uiPriority w:val="99"/>
    <w:rPr>
      <w:rFonts w:ascii="Calibri" w:hAnsi="Calibri" w:eastAsia="宋体" w:cs="Times New Roman"/>
      <w:b/>
      <w:bCs/>
      <w:kern w:val="2"/>
      <w:sz w:val="21"/>
      <w:szCs w:val="22"/>
    </w:rPr>
  </w:style>
  <w:style w:type="paragraph" w:customStyle="1" w:styleId="50">
    <w:name w:val="引用1"/>
    <w:autoRedefine/>
    <w:qFormat/>
    <w:uiPriority w:val="0"/>
    <w:pPr>
      <w:wordWrap w:val="0"/>
      <w:spacing w:before="200" w:after="160"/>
      <w:ind w:left="864" w:right="864"/>
      <w:jc w:val="center"/>
    </w:pPr>
    <w:rPr>
      <w:rFonts w:ascii="Calibri" w:hAnsi="Calibri" w:eastAsia="宋体" w:cs="Times New Roman"/>
      <w:i/>
      <w:sz w:val="21"/>
      <w:lang w:val="en-US" w:eastAsia="zh-CN" w:bidi="ar-SA"/>
    </w:rPr>
  </w:style>
  <w:style w:type="character" w:customStyle="1" w:styleId="51">
    <w:name w:val="正文文本 字符"/>
    <w:basedOn w:val="32"/>
    <w:qFormat/>
    <w:uiPriority w:val="0"/>
    <w:rPr>
      <w:rFonts w:ascii="Times New Roman" w:hAnsi="Times New Roman" w:eastAsia="宋体" w:cs="Times New Roman"/>
      <w:szCs w:val="24"/>
    </w:rPr>
  </w:style>
  <w:style w:type="paragraph" w:customStyle="1" w:styleId="52">
    <w:name w:val="正文首行缩进两字符"/>
    <w:basedOn w:val="1"/>
    <w:autoRedefine/>
    <w:qFormat/>
    <w:uiPriority w:val="0"/>
    <w:pPr>
      <w:spacing w:line="360" w:lineRule="auto"/>
      <w:ind w:firstLine="200" w:firstLineChars="200"/>
    </w:pPr>
    <w:rPr>
      <w:rFonts w:ascii="Times New Roman" w:hAnsi="Times New Roman" w:eastAsia="宋体" w:cs="Times New Roman"/>
      <w:szCs w:val="24"/>
    </w:rPr>
  </w:style>
  <w:style w:type="character" w:customStyle="1" w:styleId="53">
    <w:name w:val="font61"/>
    <w:basedOn w:val="32"/>
    <w:qFormat/>
    <w:uiPriority w:val="0"/>
    <w:rPr>
      <w:rFonts w:hint="eastAsia" w:ascii="宋体" w:hAnsi="宋体" w:eastAsia="宋体" w:cs="宋体"/>
      <w:color w:val="000000"/>
      <w:sz w:val="24"/>
      <w:szCs w:val="24"/>
      <w:u w:val="none"/>
    </w:rPr>
  </w:style>
  <w:style w:type="character" w:customStyle="1" w:styleId="54">
    <w:name w:val="font31"/>
    <w:basedOn w:val="32"/>
    <w:qFormat/>
    <w:uiPriority w:val="0"/>
    <w:rPr>
      <w:rFonts w:hint="eastAsia" w:ascii="Microsoft JhengHei" w:hAnsi="Microsoft JhengHei" w:eastAsia="Microsoft JhengHei" w:cs="Microsoft JhengHei"/>
      <w:color w:val="000000"/>
      <w:sz w:val="24"/>
      <w:szCs w:val="24"/>
      <w:u w:val="none"/>
    </w:rPr>
  </w:style>
  <w:style w:type="paragraph" w:customStyle="1" w:styleId="55">
    <w:name w:val="Other|1"/>
    <w:basedOn w:val="1"/>
    <w:autoRedefine/>
    <w:qFormat/>
    <w:uiPriority w:val="0"/>
    <w:pPr>
      <w:spacing w:line="394" w:lineRule="auto"/>
      <w:ind w:firstLine="400"/>
    </w:pPr>
    <w:rPr>
      <w:rFonts w:ascii="宋体" w:hAnsi="宋体" w:eastAsia="宋体" w:cs="宋体"/>
      <w:sz w:val="30"/>
      <w:szCs w:val="30"/>
      <w:lang w:val="zh-TW" w:eastAsia="zh-TW" w:bidi="zh-TW"/>
    </w:rPr>
  </w:style>
  <w:style w:type="paragraph" w:customStyle="1" w:styleId="56">
    <w:name w:val="Body text|1"/>
    <w:basedOn w:val="1"/>
    <w:autoRedefine/>
    <w:qFormat/>
    <w:uiPriority w:val="0"/>
    <w:pPr>
      <w:spacing w:line="394" w:lineRule="auto"/>
      <w:ind w:firstLine="400"/>
    </w:pPr>
    <w:rPr>
      <w:rFonts w:ascii="宋体" w:hAnsi="宋体" w:eastAsia="宋体" w:cs="宋体"/>
      <w:sz w:val="30"/>
      <w:szCs w:val="30"/>
      <w:lang w:val="zh-TW" w:eastAsia="zh-TW" w:bidi="zh-TW"/>
    </w:rPr>
  </w:style>
  <w:style w:type="character" w:customStyle="1" w:styleId="57">
    <w:name w:val="font01"/>
    <w:basedOn w:val="32"/>
    <w:autoRedefine/>
    <w:qFormat/>
    <w:uiPriority w:val="0"/>
    <w:rPr>
      <w:rFonts w:hint="eastAsia" w:ascii="宋体" w:hAnsi="宋体" w:eastAsia="宋体" w:cs="宋体"/>
      <w:color w:val="000000"/>
      <w:sz w:val="18"/>
      <w:szCs w:val="18"/>
      <w:u w:val="none"/>
    </w:rPr>
  </w:style>
  <w:style w:type="paragraph" w:customStyle="1" w:styleId="58">
    <w:name w:val="列出段落1"/>
    <w:basedOn w:val="1"/>
    <w:autoRedefine/>
    <w:qFormat/>
    <w:uiPriority w:val="1"/>
    <w:pPr>
      <w:spacing w:before="4"/>
      <w:ind w:left="440" w:firstLine="559"/>
    </w:pPr>
    <w:rPr>
      <w:rFonts w:ascii="方正仿宋_GBK" w:hAnsi="方正仿宋_GBK" w:eastAsia="方正仿宋_GBK" w:cs="方正仿宋_GBK"/>
      <w:lang w:val="zh-CN" w:bidi="zh-CN"/>
    </w:rPr>
  </w:style>
  <w:style w:type="paragraph" w:customStyle="1" w:styleId="59">
    <w:name w:val="WPSOffice手动目录 1"/>
    <w:autoRedefine/>
    <w:qFormat/>
    <w:uiPriority w:val="0"/>
    <w:rPr>
      <w:rFonts w:ascii="Times New Roman" w:hAnsi="Times New Roman" w:eastAsia="宋体" w:cs="Times New Roman"/>
      <w:lang w:val="en-US" w:eastAsia="zh-CN" w:bidi="ar-SA"/>
    </w:rPr>
  </w:style>
  <w:style w:type="paragraph" w:styleId="60">
    <w:name w:val="List Paragraph"/>
    <w:basedOn w:val="1"/>
    <w:autoRedefine/>
    <w:unhideWhenUsed/>
    <w:qFormat/>
    <w:uiPriority w:val="99"/>
    <w:pPr>
      <w:ind w:firstLine="420" w:firstLineChars="200"/>
    </w:pPr>
  </w:style>
  <w:style w:type="table" w:customStyle="1" w:styleId="61">
    <w:name w:val="网格型2"/>
    <w:basedOn w:val="3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2">
    <w:name w:val="img"/>
    <w:basedOn w:val="32"/>
    <w:autoRedefine/>
    <w:qFormat/>
    <w:uiPriority w:val="0"/>
  </w:style>
  <w:style w:type="character" w:customStyle="1" w:styleId="63">
    <w:name w:val="img1"/>
    <w:basedOn w:val="32"/>
    <w:autoRedefine/>
    <w:qFormat/>
    <w:uiPriority w:val="0"/>
    <w:rPr>
      <w:color w:val="2461B1"/>
    </w:rPr>
  </w:style>
  <w:style w:type="paragraph" w:customStyle="1" w:styleId="64">
    <w:name w:val="0h"/>
    <w:basedOn w:val="1"/>
    <w:autoRedefine/>
    <w:qFormat/>
    <w:uiPriority w:val="0"/>
    <w:pPr>
      <w:spacing w:line="360" w:lineRule="auto"/>
      <w:ind w:firstLine="480" w:firstLineChars="200"/>
    </w:pPr>
    <w:rPr>
      <w:rFonts w:ascii="宋体" w:hAnsi="宋体"/>
      <w:kern w:val="0"/>
      <w:sz w:val="24"/>
    </w:rPr>
  </w:style>
  <w:style w:type="paragraph" w:customStyle="1" w:styleId="65">
    <w:name w:val="Normal_4"/>
    <w:next w:val="1"/>
    <w:autoRedefine/>
    <w:qFormat/>
    <w:uiPriority w:val="0"/>
    <w:pPr>
      <w:widowControl w:val="0"/>
      <w:jc w:val="both"/>
    </w:pPr>
    <w:rPr>
      <w:rFonts w:ascii="Times New Roman" w:hAnsi="Times New Roman" w:eastAsia="宋体" w:cs="Times New Roman"/>
      <w:lang w:val="en-US" w:eastAsia="zh-CN" w:bidi="ar-SA"/>
    </w:rPr>
  </w:style>
  <w:style w:type="character" w:customStyle="1" w:styleId="66">
    <w:name w:val="font21"/>
    <w:basedOn w:val="32"/>
    <w:autoRedefine/>
    <w:qFormat/>
    <w:uiPriority w:val="0"/>
    <w:rPr>
      <w:rFonts w:hint="eastAsia" w:ascii="方正仿宋_GBK" w:hAnsi="方正仿宋_GBK" w:eastAsia="方正仿宋_GBK" w:cs="方正仿宋_GBK"/>
      <w:color w:val="000000"/>
      <w:sz w:val="22"/>
      <w:szCs w:val="22"/>
      <w:u w:val="none"/>
    </w:rPr>
  </w:style>
  <w:style w:type="paragraph" w:customStyle="1" w:styleId="6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48</Pages>
  <Words>18588</Words>
  <Characters>19205</Characters>
  <Lines>158</Lines>
  <Paragraphs>44</Paragraphs>
  <TotalTime>6</TotalTime>
  <ScaleCrop>false</ScaleCrop>
  <LinksUpToDate>false</LinksUpToDate>
  <CharactersWithSpaces>19910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2019-10-21T03:16:00Z</dcterms:created>
  <dc:creator>xb21cn</dc:creator>
  <cp:lastModifiedBy>Lonely</cp:lastModifiedBy>
  <cp:lastPrinted>2022-09-27T06:08:00Z</cp:lastPrinted>
  <dcterms:modified xsi:type="dcterms:W3CDTF">2024-10-22T01:51:11Z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KSOSaveFontToCloudKey">
    <vt:lpwstr>704894929_btnclosed</vt:lpwstr>
  </property>
  <property fmtid="{D5CDD505-2E9C-101B-9397-08002B2CF9AE}" pid="4" name="ICV">
    <vt:lpwstr>0B30780B73BB4C87B844D8A7CD50BCED_13</vt:lpwstr>
  </property>
</Properties>
</file>