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C20DA">
      <w:pPr>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 xml:space="preserve">2：        </w:t>
      </w:r>
    </w:p>
    <w:p w14:paraId="5B25B66E">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采购包二：药品供应链管理系统</w:t>
      </w:r>
    </w:p>
    <w:p w14:paraId="5FF70169">
      <w:pPr>
        <w:numPr>
          <w:ilvl w:val="0"/>
          <w:numId w:val="0"/>
        </w:numPr>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bCs/>
          <w:sz w:val="28"/>
          <w:szCs w:val="28"/>
          <w:lang w:val="en-US" w:eastAsia="zh-CN"/>
        </w:rPr>
        <w:t>一、控制价：</w:t>
      </w:r>
      <w:r>
        <w:rPr>
          <w:rFonts w:hint="eastAsia" w:ascii="方正仿宋_GBK" w:hAnsi="方正仿宋_GBK" w:eastAsia="方正仿宋_GBK" w:cs="方正仿宋_GBK"/>
          <w:b w:val="0"/>
          <w:bCs w:val="0"/>
          <w:sz w:val="28"/>
          <w:szCs w:val="28"/>
          <w:lang w:val="en-US" w:eastAsia="zh-CN"/>
        </w:rPr>
        <w:t>1800000.00元（大写：壹佰捌拾万元整）</w:t>
      </w:r>
    </w:p>
    <w:p w14:paraId="07008482">
      <w:pPr>
        <w:numPr>
          <w:ilvl w:val="0"/>
          <w:numId w:val="0"/>
        </w:numPr>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二、采购内容：</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900"/>
        <w:gridCol w:w="1750"/>
        <w:gridCol w:w="1150"/>
        <w:gridCol w:w="2150"/>
      </w:tblGrid>
      <w:tr w14:paraId="00CD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8" w:type="dxa"/>
            <w:vAlign w:val="center"/>
          </w:tcPr>
          <w:p w14:paraId="0DB49ADB">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序号</w:t>
            </w:r>
          </w:p>
        </w:tc>
        <w:tc>
          <w:tcPr>
            <w:tcW w:w="3900" w:type="dxa"/>
            <w:vAlign w:val="center"/>
          </w:tcPr>
          <w:p w14:paraId="1809550E">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名称</w:t>
            </w:r>
          </w:p>
        </w:tc>
        <w:tc>
          <w:tcPr>
            <w:tcW w:w="1750" w:type="dxa"/>
            <w:vAlign w:val="center"/>
          </w:tcPr>
          <w:p w14:paraId="11F8C95B">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单位</w:t>
            </w:r>
          </w:p>
        </w:tc>
        <w:tc>
          <w:tcPr>
            <w:tcW w:w="1150" w:type="dxa"/>
            <w:vAlign w:val="center"/>
          </w:tcPr>
          <w:p w14:paraId="23731F05">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数量</w:t>
            </w:r>
          </w:p>
        </w:tc>
        <w:tc>
          <w:tcPr>
            <w:tcW w:w="2150" w:type="dxa"/>
            <w:vAlign w:val="center"/>
          </w:tcPr>
          <w:p w14:paraId="23F4B6B5">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备注</w:t>
            </w:r>
          </w:p>
        </w:tc>
      </w:tr>
      <w:tr w14:paraId="11A6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8" w:type="dxa"/>
            <w:vAlign w:val="center"/>
          </w:tcPr>
          <w:p w14:paraId="0CE56D42">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3900" w:type="dxa"/>
            <w:vAlign w:val="center"/>
          </w:tcPr>
          <w:p w14:paraId="2B06F33E">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药品供应链管理系统</w:t>
            </w:r>
          </w:p>
        </w:tc>
        <w:tc>
          <w:tcPr>
            <w:tcW w:w="1750" w:type="dxa"/>
            <w:vAlign w:val="center"/>
          </w:tcPr>
          <w:p w14:paraId="7A14F794">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套</w:t>
            </w:r>
          </w:p>
        </w:tc>
        <w:tc>
          <w:tcPr>
            <w:tcW w:w="1150" w:type="dxa"/>
            <w:vAlign w:val="center"/>
          </w:tcPr>
          <w:p w14:paraId="7EC0D8D7">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2150" w:type="dxa"/>
            <w:vAlign w:val="center"/>
          </w:tcPr>
          <w:p w14:paraId="3FECC02A">
            <w:pPr>
              <w:numPr>
                <w:ilvl w:val="0"/>
                <w:numId w:val="0"/>
              </w:num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南池、南坝、兴文药品库房</w:t>
            </w:r>
          </w:p>
        </w:tc>
      </w:tr>
      <w:tr w14:paraId="46F4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8" w:type="dxa"/>
            <w:vAlign w:val="center"/>
          </w:tcPr>
          <w:p w14:paraId="244FB8B6">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w:t>
            </w:r>
          </w:p>
        </w:tc>
        <w:tc>
          <w:tcPr>
            <w:tcW w:w="3900" w:type="dxa"/>
            <w:vAlign w:val="center"/>
          </w:tcPr>
          <w:p w14:paraId="2DAE89AD">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药品溯源</w:t>
            </w:r>
            <w:r>
              <w:rPr>
                <w:rFonts w:hint="eastAsia" w:ascii="方正仿宋_GBK" w:hAnsi="方正仿宋_GBK" w:eastAsia="方正仿宋_GBK" w:cs="方正仿宋_GBK"/>
                <w:sz w:val="28"/>
                <w:szCs w:val="28"/>
                <w:vertAlign w:val="baseline"/>
                <w:lang w:val="en-US" w:eastAsia="zh-CN"/>
              </w:rPr>
              <w:t>管理系统</w:t>
            </w:r>
          </w:p>
        </w:tc>
        <w:tc>
          <w:tcPr>
            <w:tcW w:w="1750" w:type="dxa"/>
            <w:shd w:val="clear" w:color="auto" w:fill="auto"/>
            <w:vAlign w:val="center"/>
          </w:tcPr>
          <w:p w14:paraId="6C05D412">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套</w:t>
            </w:r>
          </w:p>
        </w:tc>
        <w:tc>
          <w:tcPr>
            <w:tcW w:w="1150" w:type="dxa"/>
            <w:shd w:val="clear" w:color="auto" w:fill="auto"/>
            <w:vAlign w:val="center"/>
          </w:tcPr>
          <w:p w14:paraId="31DFC200">
            <w:pPr>
              <w:numPr>
                <w:ilvl w:val="0"/>
                <w:numId w:val="0"/>
              </w:numPr>
              <w:ind w:left="0" w:leftChars="0" w:firstLine="0" w:firstLineChars="0"/>
              <w:jc w:val="center"/>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1</w:t>
            </w:r>
          </w:p>
        </w:tc>
        <w:tc>
          <w:tcPr>
            <w:tcW w:w="2150" w:type="dxa"/>
            <w:vAlign w:val="center"/>
          </w:tcPr>
          <w:p w14:paraId="0684BDDB">
            <w:pPr>
              <w:numPr>
                <w:ilvl w:val="0"/>
                <w:numId w:val="0"/>
              </w:num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全院</w:t>
            </w:r>
          </w:p>
        </w:tc>
      </w:tr>
      <w:tr w14:paraId="724D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8" w:type="dxa"/>
            <w:shd w:val="clear" w:color="auto" w:fill="auto"/>
            <w:vAlign w:val="center"/>
          </w:tcPr>
          <w:p w14:paraId="40E9635A">
            <w:pPr>
              <w:numPr>
                <w:ilvl w:val="0"/>
                <w:numId w:val="0"/>
              </w:numPr>
              <w:ind w:left="0" w:leftChars="0" w:firstLine="0" w:firstLineChars="0"/>
              <w:jc w:val="center"/>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3</w:t>
            </w:r>
          </w:p>
        </w:tc>
        <w:tc>
          <w:tcPr>
            <w:tcW w:w="3900" w:type="dxa"/>
            <w:shd w:val="clear" w:color="auto" w:fill="auto"/>
            <w:vAlign w:val="center"/>
          </w:tcPr>
          <w:p w14:paraId="18C2B0BE">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服务器</w:t>
            </w:r>
          </w:p>
        </w:tc>
        <w:tc>
          <w:tcPr>
            <w:tcW w:w="1750" w:type="dxa"/>
            <w:shd w:val="clear" w:color="auto" w:fill="auto"/>
            <w:vAlign w:val="center"/>
          </w:tcPr>
          <w:p w14:paraId="15C32122">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台</w:t>
            </w:r>
          </w:p>
        </w:tc>
        <w:tc>
          <w:tcPr>
            <w:tcW w:w="1150" w:type="dxa"/>
            <w:shd w:val="clear" w:color="auto" w:fill="auto"/>
            <w:vAlign w:val="center"/>
          </w:tcPr>
          <w:p w14:paraId="2A9FCFAC">
            <w:pPr>
              <w:numPr>
                <w:ilvl w:val="0"/>
                <w:numId w:val="0"/>
              </w:numPr>
              <w:ind w:left="0" w:leftChars="0" w:firstLine="0" w:firstLineChars="0"/>
              <w:jc w:val="center"/>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2</w:t>
            </w:r>
          </w:p>
        </w:tc>
        <w:tc>
          <w:tcPr>
            <w:tcW w:w="2150" w:type="dxa"/>
            <w:shd w:val="clear" w:color="auto" w:fill="auto"/>
            <w:vAlign w:val="center"/>
          </w:tcPr>
          <w:p w14:paraId="1B318080">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全院</w:t>
            </w:r>
          </w:p>
        </w:tc>
      </w:tr>
      <w:tr w14:paraId="43CB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88" w:type="dxa"/>
            <w:shd w:val="clear" w:color="auto" w:fill="auto"/>
            <w:vAlign w:val="center"/>
          </w:tcPr>
          <w:p w14:paraId="382F0AE9">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4</w:t>
            </w:r>
          </w:p>
        </w:tc>
        <w:tc>
          <w:tcPr>
            <w:tcW w:w="3900" w:type="dxa"/>
            <w:shd w:val="clear" w:color="auto" w:fill="auto"/>
            <w:vAlign w:val="center"/>
          </w:tcPr>
          <w:p w14:paraId="4EEF77C6">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虚拟化平台</w:t>
            </w:r>
          </w:p>
        </w:tc>
        <w:tc>
          <w:tcPr>
            <w:tcW w:w="1750" w:type="dxa"/>
            <w:shd w:val="clear" w:color="auto" w:fill="auto"/>
            <w:vAlign w:val="center"/>
          </w:tcPr>
          <w:p w14:paraId="004ACD57">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套</w:t>
            </w:r>
          </w:p>
        </w:tc>
        <w:tc>
          <w:tcPr>
            <w:tcW w:w="1150" w:type="dxa"/>
            <w:shd w:val="clear" w:color="auto" w:fill="auto"/>
            <w:vAlign w:val="center"/>
          </w:tcPr>
          <w:p w14:paraId="7D8D05AC">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2</w:t>
            </w:r>
          </w:p>
        </w:tc>
        <w:tc>
          <w:tcPr>
            <w:tcW w:w="2150" w:type="dxa"/>
            <w:shd w:val="clear" w:color="auto" w:fill="auto"/>
            <w:vAlign w:val="center"/>
          </w:tcPr>
          <w:p w14:paraId="45CB1770">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eastAsia="zh-CN"/>
              </w:rPr>
              <w:t>全院</w:t>
            </w:r>
          </w:p>
        </w:tc>
      </w:tr>
    </w:tbl>
    <w:p w14:paraId="6FDAA05D">
      <w:pPr>
        <w:numPr>
          <w:ilvl w:val="0"/>
          <w:numId w:val="0"/>
        </w:numPr>
        <w:jc w:val="both"/>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三、技术、服务要求</w:t>
      </w:r>
    </w:p>
    <w:tbl>
      <w:tblPr>
        <w:tblStyle w:val="5"/>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488"/>
        <w:gridCol w:w="6862"/>
        <w:gridCol w:w="1000"/>
      </w:tblGrid>
      <w:tr w14:paraId="3024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89" w:type="dxa"/>
            <w:vAlign w:val="center"/>
          </w:tcPr>
          <w:p w14:paraId="3A26C273">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序号</w:t>
            </w:r>
          </w:p>
        </w:tc>
        <w:tc>
          <w:tcPr>
            <w:tcW w:w="1488" w:type="dxa"/>
            <w:vAlign w:val="center"/>
          </w:tcPr>
          <w:p w14:paraId="48202847">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名称</w:t>
            </w:r>
          </w:p>
        </w:tc>
        <w:tc>
          <w:tcPr>
            <w:tcW w:w="6862" w:type="dxa"/>
            <w:vAlign w:val="center"/>
          </w:tcPr>
          <w:p w14:paraId="5797C143">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技术、服务要求</w:t>
            </w:r>
          </w:p>
        </w:tc>
        <w:tc>
          <w:tcPr>
            <w:tcW w:w="1000" w:type="dxa"/>
            <w:vAlign w:val="center"/>
          </w:tcPr>
          <w:p w14:paraId="7D8A4AD9">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备注</w:t>
            </w:r>
          </w:p>
        </w:tc>
      </w:tr>
      <w:tr w14:paraId="4C64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9" w:type="dxa"/>
            <w:vAlign w:val="center"/>
          </w:tcPr>
          <w:p w14:paraId="0F7C1BED">
            <w:pPr>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488" w:type="dxa"/>
            <w:vAlign w:val="center"/>
          </w:tcPr>
          <w:p w14:paraId="5068B0B6">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药品供应链管理系统</w:t>
            </w:r>
          </w:p>
        </w:tc>
        <w:tc>
          <w:tcPr>
            <w:tcW w:w="6862" w:type="dxa"/>
            <w:tcMar>
              <w:top w:w="0" w:type="dxa"/>
              <w:left w:w="108" w:type="dxa"/>
              <w:bottom w:w="0" w:type="dxa"/>
              <w:right w:w="108" w:type="dxa"/>
            </w:tcMar>
            <w:vAlign w:val="center"/>
          </w:tcPr>
          <w:p w14:paraId="1010F4F9">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配备药品供应链管理系统1套，要求如下：</w:t>
            </w:r>
          </w:p>
          <w:p w14:paraId="143A7F93">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1、具有标准数据服务功能。支持对接平台引用标准数据信息源，标准数据依托国家医保局和药监局开放的数据进行建设，医院、供应商可直接引用并使用标准数据中的药品数据、厂商数据、资质证件数据，支持通过标准数据对比工具，实现标准数据下发及更新，无需人工维护相关信息，如国家医保药品贯标；</w:t>
            </w:r>
          </w:p>
          <w:p w14:paraId="569DAA69">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2、具有供应商企业信息管理、生产商管理、药品数据管理、医供关系管理、配送点管理等基出管理功能。支持对医供关系及供应商资质进行电子化管理，无需医院人工去收集相关资料，对供应商资质不全、即将过期或已经过期时可以进行提醒，在入库时进行预警。支持医院或供应商对药品信息进行维护。支持医院按院区对不同的医供关系、配送关系、配送点位进行分类管理；</w:t>
            </w:r>
          </w:p>
          <w:p w14:paraId="5F113E5E">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3、具有药品采购目录管理功能。支持对采购目录数据进行变更、禁用/启用、导出等操作，并可对供应商的变更记录进行查询；</w:t>
            </w:r>
          </w:p>
          <w:p w14:paraId="09E930C1">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4、具有调价管理功能。支持即时调价、定时调价等多种模式；支持统计调价次数和调价药品数；支持查询和导出调价数据；</w:t>
            </w:r>
          </w:p>
          <w:p w14:paraId="2118C811">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5、具有采购管理线上流转功能。支持系统根据院区实际消耗情况自动制定采购计划；支持采购计划在线审批，领导可在微信端收到审批消息，高效完成审批工作；支持采购计划审核完成后自动拆分成不同的采购订单，发送给相应供应商；支持供应商对单个订单分多次进行配货，及多个订单合并进行配货；医院工作人员可通过系统实时了解供应商响应、配货情况，对于未及时响应的订单，支持转配给其他供应商；支持医院根据管理需要，控制供应商是否录入生产批号、生产日期、冷链信息、发票信息等内容；</w:t>
            </w:r>
          </w:p>
          <w:p w14:paraId="3FE92D42">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6、具有结算管理功能。支持将发票图片上传，能做到查伪、查重，发票信息自动识别填充；在与医院财务系统对接后，支持将结算信息通过接口上传至财务系统生成财务凭证；</w:t>
            </w:r>
          </w:p>
          <w:p w14:paraId="490584D7">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7、具有采供分析功能。支持通过响应率、配货完成率、配送及时率、缺货断货等方面进行分析，对供应商的配送服务能力进行评价、排名；</w:t>
            </w:r>
          </w:p>
          <w:p w14:paraId="18EB9D82">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8、支持与省阳采平台互联。系统与省医保采购平台实现同步运行，系统提供三流合一信息自动上传至省医保采购平台，省阳采平台药品价格变化及时提醒药品采购工作人员，提升采购流程的协同性和效率。</w:t>
            </w:r>
          </w:p>
        </w:tc>
        <w:tc>
          <w:tcPr>
            <w:tcW w:w="1000" w:type="dxa"/>
            <w:shd w:val="clear" w:color="auto" w:fill="auto"/>
            <w:vAlign w:val="center"/>
          </w:tcPr>
          <w:p w14:paraId="62649097">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vertAlign w:val="baseline"/>
                <w:lang w:eastAsia="zh-CN"/>
              </w:rPr>
              <w:t>南池、南坝、兴文药品库房</w:t>
            </w:r>
          </w:p>
        </w:tc>
      </w:tr>
      <w:tr w14:paraId="4438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9" w:type="dxa"/>
            <w:vAlign w:val="center"/>
          </w:tcPr>
          <w:p w14:paraId="00A12D96">
            <w:pPr>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488" w:type="dxa"/>
            <w:vAlign w:val="center"/>
          </w:tcPr>
          <w:p w14:paraId="0FDE8DC8">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8"/>
                <w:szCs w:val="28"/>
                <w:vertAlign w:val="baseline"/>
                <w:lang w:eastAsia="zh-CN"/>
              </w:rPr>
              <w:t>药品溯源</w:t>
            </w:r>
            <w:r>
              <w:rPr>
                <w:rFonts w:hint="eastAsia" w:ascii="方正仿宋_GBK" w:hAnsi="方正仿宋_GBK" w:eastAsia="方正仿宋_GBK" w:cs="方正仿宋_GBK"/>
                <w:sz w:val="28"/>
                <w:szCs w:val="28"/>
                <w:vertAlign w:val="baseline"/>
                <w:lang w:val="en-US" w:eastAsia="zh-CN"/>
              </w:rPr>
              <w:t>管理系统</w:t>
            </w:r>
          </w:p>
        </w:tc>
        <w:tc>
          <w:tcPr>
            <w:tcW w:w="6862" w:type="dxa"/>
            <w:tcMar>
              <w:top w:w="0" w:type="dxa"/>
              <w:left w:w="108" w:type="dxa"/>
              <w:bottom w:w="0" w:type="dxa"/>
              <w:right w:w="108" w:type="dxa"/>
            </w:tcMar>
            <w:vAlign w:val="center"/>
          </w:tcPr>
          <w:p w14:paraId="65F38AD5">
            <w:pPr>
              <w:numPr>
                <w:ilvl w:val="0"/>
                <w:numId w:val="1"/>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满足《四川省药品监督管理局关于进一步做好药品经营使用环节重点品种追溯体系建设工作的通知》及医保药品追湖码扫码上传工作要求，药品在各个院区库房之间多次流转后，依旧可以追溯到药品原入库批次，实现药品到库房、出库、流转等各环节的院内追溯。支持通过物流码、电子追溯码等多码融合实现药品追溯功能。</w:t>
            </w:r>
          </w:p>
          <w:p w14:paraId="5F90BE11">
            <w:pPr>
              <w:numPr>
                <w:ilvl w:val="0"/>
                <w:numId w:val="1"/>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具有药库入库溯源管理功能，支持药品验收入库时，使用 PDA扫描配送药品箱装码，自动获取药品的批号、效期等信息，系统自动从码上放心平台关联下载全部最小包装药品追溯码明细信息，支持根据配送公司的配送单号关联下载其所配送药品的追溯码明细信息。支持同HIS药库管理系统、供应链管理系统无缝链接（</w:t>
            </w:r>
            <w:r>
              <w:rPr>
                <w:rFonts w:hint="eastAsia" w:ascii="方正仿宋_GBK" w:hAnsi="方正仿宋_GBK" w:eastAsia="方正仿宋_GBK" w:cs="方正仿宋_GBK"/>
                <w:sz w:val="24"/>
                <w:szCs w:val="24"/>
                <w:vertAlign w:val="baseline"/>
                <w:lang w:val="en-US" w:eastAsia="zh-CN"/>
              </w:rPr>
              <w:t>不含对端</w:t>
            </w:r>
            <w:r>
              <w:rPr>
                <w:rFonts w:hint="eastAsia" w:ascii="方正仿宋_GBK" w:hAnsi="方正仿宋_GBK" w:eastAsia="方正仿宋_GBK" w:cs="方正仿宋_GBK"/>
                <w:sz w:val="24"/>
                <w:szCs w:val="24"/>
                <w:vertAlign w:val="baseline"/>
                <w:lang w:eastAsia="zh-CN"/>
              </w:rPr>
              <w:t>HIS</w:t>
            </w:r>
            <w:r>
              <w:rPr>
                <w:rFonts w:hint="eastAsia" w:ascii="方正仿宋_GBK" w:hAnsi="方正仿宋_GBK" w:eastAsia="方正仿宋_GBK" w:cs="方正仿宋_GBK"/>
                <w:sz w:val="24"/>
                <w:szCs w:val="24"/>
                <w:vertAlign w:val="baseline"/>
                <w:lang w:val="en-US" w:eastAsia="zh-CN"/>
              </w:rPr>
              <w:t>接口费用</w:t>
            </w:r>
            <w:r>
              <w:rPr>
                <w:rFonts w:hint="eastAsia" w:ascii="方正仿宋_GBK" w:hAnsi="方正仿宋_GBK" w:eastAsia="方正仿宋_GBK" w:cs="方正仿宋_GBK"/>
                <w:sz w:val="24"/>
                <w:szCs w:val="24"/>
                <w:vertAlign w:val="baseline"/>
                <w:lang w:eastAsia="zh-CN"/>
              </w:rPr>
              <w:t>），以上药品信息自动上传到相应系统，实现扫描一键入库及三网合一。</w:t>
            </w:r>
          </w:p>
          <w:p w14:paraId="6C80E1BD">
            <w:pPr>
              <w:numPr>
                <w:ilvl w:val="0"/>
                <w:numId w:val="1"/>
              </w:numPr>
              <w:ind w:left="0" w:leftChars="0" w:firstLine="0" w:firstLineChars="0"/>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具有窗口发药溯源管理功能，支持窗口发药时通过溯源码高速扫码器批量扫描登记待发药品追溯码信息。支持关联待发处方信息,支持批量扫码，统一上传，支持药品高低落差清晰扫描，系统自动根据追溯码扫描情况辅助药师进行发药核对，当药品品规、数量异常时系统主动预警提示。支持同HIS药房管理系统无缝链接（</w:t>
            </w:r>
            <w:r>
              <w:rPr>
                <w:rFonts w:hint="eastAsia" w:ascii="方正仿宋_GBK" w:hAnsi="方正仿宋_GBK" w:eastAsia="方正仿宋_GBK" w:cs="方正仿宋_GBK"/>
                <w:sz w:val="24"/>
                <w:szCs w:val="24"/>
                <w:vertAlign w:val="baseline"/>
                <w:lang w:val="en-US" w:eastAsia="zh-CN"/>
              </w:rPr>
              <w:t>不含对端</w:t>
            </w:r>
            <w:r>
              <w:rPr>
                <w:rFonts w:hint="eastAsia" w:ascii="方正仿宋_GBK" w:hAnsi="方正仿宋_GBK" w:eastAsia="方正仿宋_GBK" w:cs="方正仿宋_GBK"/>
                <w:sz w:val="24"/>
                <w:szCs w:val="24"/>
                <w:vertAlign w:val="baseline"/>
                <w:lang w:eastAsia="zh-CN"/>
              </w:rPr>
              <w:t>HIS</w:t>
            </w:r>
            <w:r>
              <w:rPr>
                <w:rFonts w:hint="eastAsia" w:ascii="方正仿宋_GBK" w:hAnsi="方正仿宋_GBK" w:eastAsia="方正仿宋_GBK" w:cs="方正仿宋_GBK"/>
                <w:sz w:val="24"/>
                <w:szCs w:val="24"/>
                <w:vertAlign w:val="baseline"/>
                <w:lang w:val="en-US" w:eastAsia="zh-CN"/>
              </w:rPr>
              <w:t>接口费用</w:t>
            </w:r>
            <w:r>
              <w:rPr>
                <w:rFonts w:hint="eastAsia" w:ascii="方正仿宋_GBK" w:hAnsi="方正仿宋_GBK" w:eastAsia="方正仿宋_GBK" w:cs="方正仿宋_GBK"/>
                <w:sz w:val="24"/>
                <w:szCs w:val="24"/>
                <w:vertAlign w:val="baseline"/>
                <w:lang w:eastAsia="zh-CN"/>
              </w:rPr>
              <w:t>），处方扫码自动关联发药系统及追溯码扫码系统。</w:t>
            </w:r>
          </w:p>
          <w:p w14:paraId="4E2BC04D">
            <w:pPr>
              <w:numPr>
                <w:ilvl w:val="0"/>
                <w:numId w:val="1"/>
              </w:numPr>
              <w:ind w:left="0" w:leftChars="0" w:firstLine="0" w:firstLineChars="0"/>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具有协同服务功能，支持与医院信息系统、医保系统实现协同服务。</w:t>
            </w:r>
          </w:p>
          <w:p w14:paraId="0F8D692E">
            <w:pPr>
              <w:numPr>
                <w:ilvl w:val="0"/>
                <w:numId w:val="0"/>
              </w:numPr>
              <w:ind w:leftChars="0"/>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5、根据医院药品入库、调剂点位工作需要，至少配备PDA10台、药品溯源码高速采集器13台，扫码器支持对多盒药品同时扫码,最大读取速度不小于 35 个码/秒。</w:t>
            </w:r>
          </w:p>
        </w:tc>
        <w:tc>
          <w:tcPr>
            <w:tcW w:w="1000" w:type="dxa"/>
            <w:shd w:val="clear" w:color="auto" w:fill="auto"/>
            <w:vAlign w:val="center"/>
          </w:tcPr>
          <w:p w14:paraId="05F1C865">
            <w:pPr>
              <w:numPr>
                <w:ilvl w:val="0"/>
                <w:numId w:val="0"/>
              </w:numPr>
              <w:ind w:left="0" w:leftChars="0" w:firstLine="0" w:firstLineChars="0"/>
              <w:jc w:val="center"/>
              <w:rPr>
                <w:rFonts w:hint="eastAsia" w:ascii="方正仿宋_GBK" w:hAnsi="方正仿宋_GBK" w:eastAsia="方正仿宋_GBK" w:cs="方正仿宋_GBK"/>
                <w:sz w:val="24"/>
                <w:szCs w:val="24"/>
                <w:vertAlign w:val="baseline"/>
                <w:lang w:eastAsia="zh-CN"/>
              </w:rPr>
            </w:pPr>
          </w:p>
        </w:tc>
      </w:tr>
      <w:tr w14:paraId="4340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89" w:type="dxa"/>
            <w:vAlign w:val="center"/>
          </w:tcPr>
          <w:p w14:paraId="456EA9F2">
            <w:pPr>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488" w:type="dxa"/>
            <w:vAlign w:val="center"/>
          </w:tcPr>
          <w:p w14:paraId="213D0651">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服务器</w:t>
            </w:r>
          </w:p>
        </w:tc>
        <w:tc>
          <w:tcPr>
            <w:tcW w:w="6862" w:type="dxa"/>
            <w:tcMar>
              <w:top w:w="0" w:type="dxa"/>
              <w:left w:w="108" w:type="dxa"/>
              <w:bottom w:w="0" w:type="dxa"/>
              <w:right w:w="108" w:type="dxa"/>
            </w:tcMar>
            <w:vAlign w:val="center"/>
          </w:tcPr>
          <w:p w14:paraId="3F1C40A7">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处理器速率：2.4 GHz</w:t>
            </w:r>
          </w:p>
          <w:p w14:paraId="5BCE35AF">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处理器核心总数：16核</w:t>
            </w:r>
          </w:p>
          <w:p w14:paraId="66972E56">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内存：64GB*4；</w:t>
            </w:r>
          </w:p>
          <w:p w14:paraId="6E87D716">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硬盘：固态硬盘-960GB-SATA 6Gb/s*5；</w:t>
            </w:r>
          </w:p>
          <w:p w14:paraId="77989211">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RAID 卡：RAID0/1/10/5/6 1G+超级电容；</w:t>
            </w:r>
          </w:p>
          <w:p w14:paraId="159ECBF0">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网卡：2*GE+2*10GE（含多模模块）。</w:t>
            </w:r>
          </w:p>
        </w:tc>
        <w:tc>
          <w:tcPr>
            <w:tcW w:w="1000" w:type="dxa"/>
            <w:shd w:val="clear" w:color="auto" w:fill="auto"/>
            <w:vAlign w:val="center"/>
          </w:tcPr>
          <w:p w14:paraId="5BED3045">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vertAlign w:val="baseline"/>
                <w:lang w:eastAsia="zh-CN"/>
              </w:rPr>
              <w:t>全院</w:t>
            </w:r>
          </w:p>
        </w:tc>
      </w:tr>
      <w:tr w14:paraId="09E0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89" w:type="dxa"/>
            <w:vAlign w:val="center"/>
          </w:tcPr>
          <w:p w14:paraId="5BC625A4">
            <w:pPr>
              <w:numPr>
                <w:ilvl w:val="0"/>
                <w:numId w:val="0"/>
              </w:num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1488" w:type="dxa"/>
            <w:vAlign w:val="center"/>
          </w:tcPr>
          <w:p w14:paraId="6C969E13">
            <w:pPr>
              <w:numPr>
                <w:ilvl w:val="0"/>
                <w:numId w:val="0"/>
              </w:numPr>
              <w:jc w:val="center"/>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虚拟化平台</w:t>
            </w:r>
          </w:p>
        </w:tc>
        <w:tc>
          <w:tcPr>
            <w:tcW w:w="6862" w:type="dxa"/>
            <w:tcMar>
              <w:top w:w="0" w:type="dxa"/>
              <w:left w:w="108" w:type="dxa"/>
              <w:bottom w:w="0" w:type="dxa"/>
              <w:right w:w="108" w:type="dxa"/>
            </w:tcMar>
            <w:vAlign w:val="center"/>
          </w:tcPr>
          <w:p w14:paraId="166FD6AE">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处理器速率：2.4 GHz</w:t>
            </w:r>
          </w:p>
          <w:p w14:paraId="5952B95F">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处理器核心总数：16核</w:t>
            </w:r>
          </w:p>
          <w:p w14:paraId="685F52CC">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内存：64GB*4；</w:t>
            </w:r>
          </w:p>
          <w:p w14:paraId="51EEEAB4">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硬盘：固态硬盘-960GB-SATA 6Gb/s*5；</w:t>
            </w:r>
          </w:p>
          <w:p w14:paraId="0DEEA433">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RAID 卡：RAID0/1/10/5/6 1G+超级电容；</w:t>
            </w:r>
          </w:p>
          <w:p w14:paraId="17E37AE7">
            <w:pPr>
              <w:numPr>
                <w:ilvl w:val="0"/>
                <w:numId w:val="0"/>
              </w:numPr>
              <w:jc w:val="both"/>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网卡：2*GE+2*10GE（含多模模块）。</w:t>
            </w:r>
          </w:p>
        </w:tc>
        <w:tc>
          <w:tcPr>
            <w:tcW w:w="1000" w:type="dxa"/>
            <w:shd w:val="clear" w:color="auto" w:fill="auto"/>
            <w:vAlign w:val="center"/>
          </w:tcPr>
          <w:p w14:paraId="32853030">
            <w:pPr>
              <w:numPr>
                <w:ilvl w:val="0"/>
                <w:numId w:val="0"/>
              </w:numPr>
              <w:ind w:left="0" w:leftChars="0" w:firstLine="0" w:firstLineChars="0"/>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4"/>
                <w:szCs w:val="24"/>
                <w:vertAlign w:val="baseline"/>
                <w:lang w:eastAsia="zh-CN"/>
              </w:rPr>
              <w:t>全院</w:t>
            </w:r>
          </w:p>
        </w:tc>
      </w:tr>
    </w:tbl>
    <w:p w14:paraId="044D4C37">
      <w:pPr>
        <w:spacing w:line="360" w:lineRule="auto"/>
        <w:rPr>
          <w:rFonts w:hint="default" w:ascii="方正仿宋_GBK" w:hAnsi="方正仿宋_GBK" w:eastAsia="方正仿宋_GBK" w:cs="方正仿宋_GBK"/>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352C5"/>
    <w:multiLevelType w:val="singleLevel"/>
    <w:tmpl w:val="E9D352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000000"/>
    <w:rsid w:val="05AB2F72"/>
    <w:rsid w:val="0C197B91"/>
    <w:rsid w:val="12852A0A"/>
    <w:rsid w:val="134C53B3"/>
    <w:rsid w:val="1AA41664"/>
    <w:rsid w:val="35143D96"/>
    <w:rsid w:val="4D1844CD"/>
    <w:rsid w:val="59AC27E6"/>
    <w:rsid w:val="6A4A1197"/>
    <w:rsid w:val="766A1268"/>
    <w:rsid w:val="7E18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360" w:lineRule="auto"/>
      <w:outlineLvl w:val="1"/>
    </w:pPr>
    <w:rPr>
      <w:rFonts w:ascii="方正仿宋_GBK" w:hAnsi="方正仿宋_GBK" w:eastAsia="方正仿宋_GBK" w:cs="方正仿宋_GBK"/>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1774</Words>
  <Characters>1907</Characters>
  <Lines>0</Lines>
  <Paragraphs>0</Paragraphs>
  <TotalTime>4</TotalTime>
  <ScaleCrop>false</ScaleCrop>
  <LinksUpToDate>false</LinksUpToDate>
  <CharactersWithSpaces>1926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2024-10-16T08:56:00Z</dcterms:created>
  <dc:creator>Administrator</dc:creator>
  <cp:lastModifiedBy> 羊羊</cp:lastModifiedBy>
  <dcterms:modified xsi:type="dcterms:W3CDTF">2024-12-03T07:53:19Z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B8236C6762F2450C84DB943D02427476_13</vt:lpwstr>
  </property>
</Properties>
</file>