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62AF5">
      <w:pPr>
        <w:pStyle w:val="2"/>
        <w:rPr>
          <w:rFonts w:hint="eastAsia" w:ascii="方正仿宋_GBK" w:hAnsi="方正仿宋_GBK" w:eastAsia="方正仿宋_GBK"/>
          <w:color w:val="auto"/>
          <w:sz w:val="28"/>
          <w:szCs w:val="28"/>
          <w:lang w:eastAsia="zh-CN"/>
        </w:rPr>
      </w:pPr>
      <w:bookmarkStart w:id="0" w:name="_Toc23227"/>
      <w:bookmarkStart w:id="1" w:name="_Toc16580"/>
      <w:bookmarkStart w:id="2" w:name="_Toc22032"/>
      <w:r>
        <w:rPr>
          <w:rFonts w:hint="eastAsia" w:ascii="方正仿宋_GBK" w:hAnsi="方正仿宋_GBK"/>
          <w:color w:val="auto"/>
          <w:sz w:val="28"/>
          <w:szCs w:val="28"/>
          <w:lang w:val="en-US" w:eastAsia="zh-CN"/>
        </w:rPr>
        <w:t>三</w:t>
      </w:r>
      <w:r>
        <w:rPr>
          <w:rFonts w:hint="eastAsia" w:ascii="方正仿宋_GBK" w:hAnsi="方正仿宋_GBK"/>
          <w:color w:val="auto"/>
          <w:sz w:val="28"/>
          <w:szCs w:val="28"/>
        </w:rPr>
        <w:t>、采购需求</w:t>
      </w:r>
      <w:bookmarkEnd w:id="0"/>
      <w:bookmarkEnd w:id="1"/>
      <w:r>
        <w:rPr>
          <w:rFonts w:hint="eastAsia" w:ascii="方正仿宋_GBK" w:hAnsi="方正仿宋_GBK"/>
          <w:color w:val="auto"/>
          <w:sz w:val="28"/>
          <w:szCs w:val="28"/>
          <w:lang w:eastAsia="zh-CN"/>
        </w:rPr>
        <w:t>（</w:t>
      </w:r>
      <w:r>
        <w:rPr>
          <w:rFonts w:hint="eastAsia" w:ascii="方正仿宋_GBK" w:hAnsi="方正仿宋_GBK"/>
          <w:color w:val="auto"/>
          <w:sz w:val="28"/>
          <w:szCs w:val="28"/>
          <w:lang w:val="en-US" w:eastAsia="zh-CN"/>
        </w:rPr>
        <w:t>实质性要求</w:t>
      </w:r>
      <w:r>
        <w:rPr>
          <w:rFonts w:hint="eastAsia" w:ascii="方正仿宋_GBK" w:hAnsi="方正仿宋_GBK"/>
          <w:color w:val="auto"/>
          <w:sz w:val="28"/>
          <w:szCs w:val="28"/>
          <w:lang w:eastAsia="zh-CN"/>
        </w:rPr>
        <w:t>）</w:t>
      </w:r>
      <w:bookmarkEnd w:id="2"/>
    </w:p>
    <w:p w14:paraId="27E916E2">
      <w:pPr>
        <w:pStyle w:val="3"/>
        <w:numPr>
          <w:ilvl w:val="0"/>
          <w:numId w:val="0"/>
        </w:numPr>
        <w:bidi w:val="0"/>
        <w:ind w:firstLine="562" w:firstLineChars="200"/>
        <w:rPr>
          <w:rFonts w:hint="eastAsia"/>
          <w:sz w:val="28"/>
          <w:szCs w:val="28"/>
        </w:rPr>
      </w:pPr>
      <w:bookmarkStart w:id="3" w:name="_Toc24269"/>
      <w:r>
        <w:rPr>
          <w:rFonts w:hint="eastAsia"/>
          <w:sz w:val="28"/>
          <w:szCs w:val="28"/>
        </w:rPr>
        <w:t>技术、服务要求</w:t>
      </w:r>
      <w:bookmarkEnd w:id="3"/>
    </w:p>
    <w:p w14:paraId="1F38E018">
      <w:pPr>
        <w:pStyle w:val="4"/>
        <w:numPr>
          <w:ilvl w:val="0"/>
          <w:numId w:val="1"/>
        </w:numPr>
        <w:ind w:left="0" w:leftChars="0" w:firstLine="220" w:firstLineChars="0"/>
        <w:rPr>
          <w:rFonts w:hint="eastAsia" w:ascii="方正仿宋_GBK" w:hAnsi="方正仿宋_GBK" w:eastAsia="方正仿宋_GBK" w:cs="方正仿宋_GBK"/>
          <w:sz w:val="28"/>
          <w:szCs w:val="28"/>
          <w:lang w:val="en-US" w:eastAsia="zh-CN"/>
        </w:rPr>
      </w:pPr>
      <w:bookmarkStart w:id="4" w:name="_Toc8373"/>
      <w:r>
        <w:rPr>
          <w:rFonts w:hint="eastAsia" w:ascii="方正仿宋_GBK" w:hAnsi="方正仿宋_GBK" w:eastAsia="方正仿宋_GBK" w:cs="方正仿宋_GBK"/>
          <w:b/>
          <w:bCs/>
          <w:sz w:val="28"/>
          <w:szCs w:val="28"/>
          <w:lang w:val="en-US" w:eastAsia="zh-CN"/>
        </w:rPr>
        <w:t>清洗技术服务要求</w:t>
      </w:r>
    </w:p>
    <w:p w14:paraId="5D6CFD78">
      <w:pPr>
        <w:ind w:right="31" w:rightChars="15" w:firstLine="560" w:firstLineChars="200"/>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清洗消毒设备清单（包括但不限于以下清单）：</w:t>
      </w:r>
    </w:p>
    <w:tbl>
      <w:tblPr>
        <w:tblStyle w:val="7"/>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711"/>
        <w:gridCol w:w="2697"/>
        <w:gridCol w:w="1871"/>
        <w:gridCol w:w="2570"/>
      </w:tblGrid>
      <w:tr w14:paraId="7C257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161" w:type="dxa"/>
            <w:noWrap w:val="0"/>
            <w:vAlign w:val="center"/>
          </w:tcPr>
          <w:p w14:paraId="4BE2E34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院区</w:t>
            </w:r>
          </w:p>
        </w:tc>
        <w:tc>
          <w:tcPr>
            <w:tcW w:w="711" w:type="dxa"/>
            <w:noWrap w:val="0"/>
            <w:vAlign w:val="center"/>
          </w:tcPr>
          <w:p w14:paraId="7659862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序号</w:t>
            </w:r>
          </w:p>
        </w:tc>
        <w:tc>
          <w:tcPr>
            <w:tcW w:w="2697" w:type="dxa"/>
            <w:noWrap w:val="0"/>
            <w:vAlign w:val="center"/>
          </w:tcPr>
          <w:p w14:paraId="071CC80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设备</w:t>
            </w:r>
            <w:r>
              <w:rPr>
                <w:rFonts w:hint="eastAsia" w:ascii="方正仿宋_GBK" w:hAnsi="方正仿宋_GBK" w:eastAsia="方正仿宋_GBK" w:cs="方正仿宋_GBK"/>
                <w:color w:val="auto"/>
                <w:sz w:val="24"/>
                <w:szCs w:val="24"/>
              </w:rPr>
              <w:t>名称</w:t>
            </w:r>
          </w:p>
        </w:tc>
        <w:tc>
          <w:tcPr>
            <w:tcW w:w="1871" w:type="dxa"/>
            <w:noWrap w:val="0"/>
            <w:vAlign w:val="center"/>
          </w:tcPr>
          <w:p w14:paraId="3D587B5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数量</w:t>
            </w:r>
          </w:p>
        </w:tc>
        <w:tc>
          <w:tcPr>
            <w:tcW w:w="2570" w:type="dxa"/>
            <w:noWrap w:val="0"/>
            <w:vAlign w:val="center"/>
          </w:tcPr>
          <w:p w14:paraId="1DE05C3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服务内容</w:t>
            </w:r>
          </w:p>
        </w:tc>
      </w:tr>
      <w:tr w14:paraId="59718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61" w:type="dxa"/>
            <w:vMerge w:val="restart"/>
            <w:noWrap w:val="0"/>
            <w:vAlign w:val="center"/>
          </w:tcPr>
          <w:p w14:paraId="067DF4A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南池院区</w:t>
            </w:r>
          </w:p>
        </w:tc>
        <w:tc>
          <w:tcPr>
            <w:tcW w:w="711" w:type="dxa"/>
            <w:noWrap w:val="0"/>
            <w:vAlign w:val="center"/>
          </w:tcPr>
          <w:p w14:paraId="30C5493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w:t>
            </w:r>
          </w:p>
        </w:tc>
        <w:tc>
          <w:tcPr>
            <w:tcW w:w="2697" w:type="dxa"/>
            <w:noWrap w:val="0"/>
            <w:vAlign w:val="center"/>
          </w:tcPr>
          <w:p w14:paraId="0D4E247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val="en-US" w:eastAsia="zh-CN"/>
              </w:rPr>
              <w:t>直燃机组</w:t>
            </w:r>
          </w:p>
        </w:tc>
        <w:tc>
          <w:tcPr>
            <w:tcW w:w="1871" w:type="dxa"/>
            <w:noWrap w:val="0"/>
            <w:vAlign w:val="center"/>
          </w:tcPr>
          <w:p w14:paraId="2194CAF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3台</w:t>
            </w:r>
          </w:p>
        </w:tc>
        <w:tc>
          <w:tcPr>
            <w:tcW w:w="2570" w:type="dxa"/>
            <w:vMerge w:val="restart"/>
            <w:noWrap w:val="0"/>
            <w:vAlign w:val="center"/>
          </w:tcPr>
          <w:p w14:paraId="3B9D6EC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1、主机吸收器、冷凝器铜管内部清洗、冷却塔填料内部、集水盘等、冷冻水管路系统、冷却水管路系统、各种Y型过滤器清洗；2、冷冻水、冷却水全年水质保养技术服务</w:t>
            </w:r>
          </w:p>
        </w:tc>
      </w:tr>
      <w:tr w14:paraId="40CD1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61" w:type="dxa"/>
            <w:vMerge w:val="continue"/>
            <w:noWrap w:val="0"/>
            <w:vAlign w:val="center"/>
          </w:tcPr>
          <w:p w14:paraId="2561966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val="en-US" w:eastAsia="zh-CN"/>
              </w:rPr>
            </w:pPr>
          </w:p>
        </w:tc>
        <w:tc>
          <w:tcPr>
            <w:tcW w:w="711" w:type="dxa"/>
            <w:noWrap w:val="0"/>
            <w:vAlign w:val="center"/>
          </w:tcPr>
          <w:p w14:paraId="7E59BFC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val="en-US" w:eastAsia="zh-CN"/>
              </w:rPr>
              <w:t>2</w:t>
            </w:r>
          </w:p>
        </w:tc>
        <w:tc>
          <w:tcPr>
            <w:tcW w:w="2697" w:type="dxa"/>
            <w:noWrap w:val="0"/>
            <w:vAlign w:val="center"/>
          </w:tcPr>
          <w:p w14:paraId="25F8481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val="en-US" w:eastAsia="zh-CN"/>
              </w:rPr>
              <w:t>冷却塔</w:t>
            </w:r>
          </w:p>
        </w:tc>
        <w:tc>
          <w:tcPr>
            <w:tcW w:w="1871" w:type="dxa"/>
            <w:noWrap w:val="0"/>
            <w:vAlign w:val="center"/>
          </w:tcPr>
          <w:p w14:paraId="429FAF6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val="en-US" w:eastAsia="zh-CN"/>
              </w:rPr>
              <w:t>3台</w:t>
            </w:r>
          </w:p>
        </w:tc>
        <w:tc>
          <w:tcPr>
            <w:tcW w:w="2570" w:type="dxa"/>
            <w:vMerge w:val="continue"/>
            <w:noWrap w:val="0"/>
            <w:vAlign w:val="center"/>
          </w:tcPr>
          <w:p w14:paraId="23F29EB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FF"/>
                <w:sz w:val="24"/>
                <w:szCs w:val="24"/>
                <w:lang w:val="en-US" w:eastAsia="zh-CN"/>
              </w:rPr>
            </w:pPr>
          </w:p>
        </w:tc>
      </w:tr>
      <w:tr w14:paraId="10993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161" w:type="dxa"/>
            <w:vMerge w:val="continue"/>
            <w:noWrap w:val="0"/>
            <w:vAlign w:val="center"/>
          </w:tcPr>
          <w:p w14:paraId="70BAB5C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val="en-US" w:eastAsia="zh-CN"/>
              </w:rPr>
            </w:pPr>
          </w:p>
        </w:tc>
        <w:tc>
          <w:tcPr>
            <w:tcW w:w="711" w:type="dxa"/>
            <w:noWrap w:val="0"/>
            <w:vAlign w:val="center"/>
          </w:tcPr>
          <w:p w14:paraId="5CB4CC7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w:t>
            </w:r>
          </w:p>
        </w:tc>
        <w:tc>
          <w:tcPr>
            <w:tcW w:w="2697" w:type="dxa"/>
            <w:noWrap w:val="0"/>
            <w:vAlign w:val="center"/>
          </w:tcPr>
          <w:p w14:paraId="641DFEF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冷却水泵</w:t>
            </w:r>
          </w:p>
        </w:tc>
        <w:tc>
          <w:tcPr>
            <w:tcW w:w="1871" w:type="dxa"/>
            <w:noWrap w:val="0"/>
            <w:vAlign w:val="center"/>
          </w:tcPr>
          <w:p w14:paraId="39F01CC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3台</w:t>
            </w:r>
          </w:p>
        </w:tc>
        <w:tc>
          <w:tcPr>
            <w:tcW w:w="2570" w:type="dxa"/>
            <w:vMerge w:val="continue"/>
            <w:noWrap w:val="0"/>
            <w:vAlign w:val="center"/>
          </w:tcPr>
          <w:p w14:paraId="038988F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FF"/>
                <w:sz w:val="24"/>
                <w:szCs w:val="24"/>
                <w:lang w:val="en-US" w:eastAsia="zh-CN"/>
              </w:rPr>
            </w:pPr>
          </w:p>
        </w:tc>
      </w:tr>
      <w:tr w14:paraId="6792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161" w:type="dxa"/>
            <w:vMerge w:val="continue"/>
            <w:noWrap w:val="0"/>
            <w:vAlign w:val="center"/>
          </w:tcPr>
          <w:p w14:paraId="199BDCC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val="en-US" w:eastAsia="zh-CN"/>
              </w:rPr>
            </w:pPr>
          </w:p>
        </w:tc>
        <w:tc>
          <w:tcPr>
            <w:tcW w:w="711" w:type="dxa"/>
            <w:noWrap w:val="0"/>
            <w:vAlign w:val="center"/>
          </w:tcPr>
          <w:p w14:paraId="442FCB4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4</w:t>
            </w:r>
          </w:p>
        </w:tc>
        <w:tc>
          <w:tcPr>
            <w:tcW w:w="2697" w:type="dxa"/>
            <w:noWrap w:val="0"/>
            <w:vAlign w:val="center"/>
          </w:tcPr>
          <w:p w14:paraId="63E6A3A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冷冻水泵</w:t>
            </w:r>
          </w:p>
        </w:tc>
        <w:tc>
          <w:tcPr>
            <w:tcW w:w="1871" w:type="dxa"/>
            <w:noWrap w:val="0"/>
            <w:vAlign w:val="center"/>
          </w:tcPr>
          <w:p w14:paraId="451CA3B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3台</w:t>
            </w:r>
          </w:p>
        </w:tc>
        <w:tc>
          <w:tcPr>
            <w:tcW w:w="2570" w:type="dxa"/>
            <w:vMerge w:val="continue"/>
            <w:noWrap w:val="0"/>
            <w:vAlign w:val="center"/>
          </w:tcPr>
          <w:p w14:paraId="66508E9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FF"/>
                <w:sz w:val="24"/>
                <w:szCs w:val="24"/>
                <w:lang w:val="en-US" w:eastAsia="zh-CN"/>
              </w:rPr>
            </w:pPr>
          </w:p>
        </w:tc>
      </w:tr>
      <w:tr w14:paraId="3E838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61" w:type="dxa"/>
            <w:vMerge w:val="restart"/>
            <w:noWrap w:val="0"/>
            <w:vAlign w:val="center"/>
          </w:tcPr>
          <w:p w14:paraId="295AD22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南坝院区</w:t>
            </w:r>
          </w:p>
        </w:tc>
        <w:tc>
          <w:tcPr>
            <w:tcW w:w="711" w:type="dxa"/>
            <w:noWrap w:val="0"/>
            <w:vAlign w:val="center"/>
          </w:tcPr>
          <w:p w14:paraId="730208F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val="en-US" w:eastAsia="zh-CN"/>
              </w:rPr>
              <w:t>5</w:t>
            </w:r>
          </w:p>
        </w:tc>
        <w:tc>
          <w:tcPr>
            <w:tcW w:w="2697" w:type="dxa"/>
            <w:noWrap w:val="0"/>
            <w:vAlign w:val="center"/>
          </w:tcPr>
          <w:p w14:paraId="74795D5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val="en-US" w:eastAsia="zh-CN"/>
              </w:rPr>
              <w:t>直燃机组</w:t>
            </w:r>
          </w:p>
        </w:tc>
        <w:tc>
          <w:tcPr>
            <w:tcW w:w="1871" w:type="dxa"/>
            <w:noWrap w:val="0"/>
            <w:vAlign w:val="center"/>
          </w:tcPr>
          <w:p w14:paraId="7C6DC7A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val="en-US" w:eastAsia="zh-CN"/>
              </w:rPr>
              <w:t>3台</w:t>
            </w:r>
          </w:p>
        </w:tc>
        <w:tc>
          <w:tcPr>
            <w:tcW w:w="2570" w:type="dxa"/>
            <w:vMerge w:val="continue"/>
            <w:noWrap w:val="0"/>
            <w:vAlign w:val="center"/>
          </w:tcPr>
          <w:p w14:paraId="220698E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FF"/>
                <w:sz w:val="24"/>
                <w:szCs w:val="24"/>
                <w:lang w:val="en-US" w:eastAsia="zh-CN"/>
              </w:rPr>
            </w:pPr>
          </w:p>
        </w:tc>
      </w:tr>
      <w:tr w14:paraId="2DF37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61" w:type="dxa"/>
            <w:vMerge w:val="continue"/>
            <w:noWrap w:val="0"/>
            <w:vAlign w:val="center"/>
          </w:tcPr>
          <w:p w14:paraId="27BF78C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val="en-US" w:eastAsia="zh-CN"/>
              </w:rPr>
            </w:pPr>
          </w:p>
        </w:tc>
        <w:tc>
          <w:tcPr>
            <w:tcW w:w="711" w:type="dxa"/>
            <w:noWrap w:val="0"/>
            <w:vAlign w:val="center"/>
          </w:tcPr>
          <w:p w14:paraId="696FCE1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val="en-US" w:eastAsia="zh-CN"/>
              </w:rPr>
              <w:t>6</w:t>
            </w:r>
          </w:p>
        </w:tc>
        <w:tc>
          <w:tcPr>
            <w:tcW w:w="2697" w:type="dxa"/>
            <w:noWrap w:val="0"/>
            <w:vAlign w:val="center"/>
          </w:tcPr>
          <w:p w14:paraId="1971663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val="en-US" w:eastAsia="zh-CN"/>
              </w:rPr>
              <w:t>冷却塔</w:t>
            </w:r>
          </w:p>
        </w:tc>
        <w:tc>
          <w:tcPr>
            <w:tcW w:w="1871" w:type="dxa"/>
            <w:noWrap w:val="0"/>
            <w:vAlign w:val="center"/>
          </w:tcPr>
          <w:p w14:paraId="3543AE9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val="en-US" w:eastAsia="zh-CN"/>
              </w:rPr>
              <w:t>3台</w:t>
            </w:r>
          </w:p>
        </w:tc>
        <w:tc>
          <w:tcPr>
            <w:tcW w:w="2570" w:type="dxa"/>
            <w:vMerge w:val="continue"/>
            <w:noWrap w:val="0"/>
            <w:vAlign w:val="center"/>
          </w:tcPr>
          <w:p w14:paraId="13AD080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FF"/>
                <w:sz w:val="24"/>
                <w:szCs w:val="24"/>
                <w:lang w:val="en-US" w:eastAsia="zh-CN"/>
              </w:rPr>
            </w:pPr>
          </w:p>
        </w:tc>
      </w:tr>
      <w:tr w14:paraId="6995C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161" w:type="dxa"/>
            <w:vMerge w:val="continue"/>
            <w:noWrap w:val="0"/>
            <w:vAlign w:val="center"/>
          </w:tcPr>
          <w:p w14:paraId="167B740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val="en-US" w:eastAsia="zh-CN"/>
              </w:rPr>
            </w:pPr>
          </w:p>
        </w:tc>
        <w:tc>
          <w:tcPr>
            <w:tcW w:w="711" w:type="dxa"/>
            <w:noWrap w:val="0"/>
            <w:vAlign w:val="center"/>
          </w:tcPr>
          <w:p w14:paraId="2DF5502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7</w:t>
            </w:r>
          </w:p>
        </w:tc>
        <w:tc>
          <w:tcPr>
            <w:tcW w:w="2697" w:type="dxa"/>
            <w:noWrap w:val="0"/>
            <w:vAlign w:val="center"/>
          </w:tcPr>
          <w:p w14:paraId="7DC7DFE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val="en-US" w:eastAsia="zh-CN"/>
              </w:rPr>
              <w:t>冷却水泵及Y型过滤器</w:t>
            </w:r>
          </w:p>
        </w:tc>
        <w:tc>
          <w:tcPr>
            <w:tcW w:w="1871" w:type="dxa"/>
            <w:noWrap w:val="0"/>
            <w:vAlign w:val="center"/>
          </w:tcPr>
          <w:p w14:paraId="091C45D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若干</w:t>
            </w:r>
          </w:p>
        </w:tc>
        <w:tc>
          <w:tcPr>
            <w:tcW w:w="2570" w:type="dxa"/>
            <w:vMerge w:val="continue"/>
            <w:noWrap w:val="0"/>
            <w:vAlign w:val="center"/>
          </w:tcPr>
          <w:p w14:paraId="7584A18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FF"/>
                <w:sz w:val="24"/>
                <w:szCs w:val="24"/>
                <w:lang w:val="en-US" w:eastAsia="zh-CN"/>
              </w:rPr>
            </w:pPr>
          </w:p>
        </w:tc>
      </w:tr>
      <w:tr w14:paraId="20D6C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61" w:type="dxa"/>
            <w:vMerge w:val="continue"/>
            <w:noWrap w:val="0"/>
            <w:vAlign w:val="center"/>
          </w:tcPr>
          <w:p w14:paraId="7D62106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rPr>
            </w:pPr>
          </w:p>
        </w:tc>
        <w:tc>
          <w:tcPr>
            <w:tcW w:w="711" w:type="dxa"/>
            <w:noWrap w:val="0"/>
            <w:vAlign w:val="center"/>
          </w:tcPr>
          <w:p w14:paraId="523A77C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8</w:t>
            </w:r>
          </w:p>
        </w:tc>
        <w:tc>
          <w:tcPr>
            <w:tcW w:w="2697" w:type="dxa"/>
            <w:noWrap w:val="0"/>
            <w:vAlign w:val="center"/>
          </w:tcPr>
          <w:p w14:paraId="4E3956B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val="en-US" w:eastAsia="zh-CN"/>
              </w:rPr>
              <w:t>冷冻水泵及Y型过滤器</w:t>
            </w:r>
          </w:p>
        </w:tc>
        <w:tc>
          <w:tcPr>
            <w:tcW w:w="1871" w:type="dxa"/>
            <w:noWrap w:val="0"/>
            <w:vAlign w:val="center"/>
          </w:tcPr>
          <w:p w14:paraId="0BAEAB3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若干</w:t>
            </w:r>
          </w:p>
        </w:tc>
        <w:tc>
          <w:tcPr>
            <w:tcW w:w="2570" w:type="dxa"/>
            <w:vMerge w:val="continue"/>
            <w:noWrap w:val="0"/>
            <w:vAlign w:val="center"/>
          </w:tcPr>
          <w:p w14:paraId="4FC2626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FF"/>
                <w:sz w:val="24"/>
                <w:szCs w:val="24"/>
                <w:lang w:val="en-US" w:eastAsia="zh-CN"/>
              </w:rPr>
            </w:pPr>
          </w:p>
        </w:tc>
      </w:tr>
    </w:tbl>
    <w:p w14:paraId="09DC4D0E">
      <w:pPr>
        <w:rPr>
          <w:rFonts w:hint="eastAsia" w:ascii="方正仿宋_GBK" w:hAnsi="方正仿宋_GBK" w:eastAsia="方正仿宋_GBK" w:cs="方正仿宋_GBK"/>
          <w:lang w:val="en-US" w:eastAsia="zh-CN"/>
        </w:rPr>
      </w:pPr>
    </w:p>
    <w:p w14:paraId="7B76FFE3">
      <w:pPr>
        <w:numPr>
          <w:ilvl w:val="0"/>
          <w:numId w:val="0"/>
        </w:numPr>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1、本项目清洗施工期限：合同签订后30天以内完成。供应商须提供承诺函，承诺函需明确清洗施工期限并在承诺期限内完成本项目所要求的清洗消毒工作，如果供应商没有按照承诺的期限完成相关服务，采购人将从成交服务费中扣除误期赔偿费，赔偿费的计算方法为：成交金额的千分之五/天。</w:t>
      </w:r>
    </w:p>
    <w:p w14:paraId="0CFCAAEB">
      <w:pPr>
        <w:numPr>
          <w:ilvl w:val="0"/>
          <w:numId w:val="0"/>
        </w:numPr>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2、清洗药剂要求：</w:t>
      </w:r>
    </w:p>
    <w:p w14:paraId="7679FA93">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（1）循环水系统清洗药剂要求：所使用除垢剂、镀膜药剂必须提供产品的MSDS和出厂检测报告合格的产品。</w:t>
      </w:r>
    </w:p>
    <w:p w14:paraId="6ACA411F">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（2）冷却塔清洗后使用含氯消毒剂（须经具有CMA检测资质的检测机构检测合格产品）对冷却塔内部填料等进行全面消毒，并按相关标准投放杀菌除藻剂。</w:t>
      </w:r>
    </w:p>
    <w:p w14:paraId="0A52C443">
      <w:pPr>
        <w:numPr>
          <w:ilvl w:val="0"/>
          <w:numId w:val="0"/>
        </w:numPr>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3、直燃机组清洗
</w:t>
      </w:r>
    </w:p>
    <w:p w14:paraId="7512C6E1">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（1）清洗范围：包括机组内部的冷凝器、蒸发器、吸收器等所有换热部件及连接管道。</w:t>
      </w:r>
    </w:p>
    <w:p w14:paraId="33848972">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（2）冷凝器：清除冷凝器管程内的水垢、淤泥等杂质，采用内窥镜检查管程内壁，确保无明显污垢残留，换热面清洁度达到 95% 以上。
</w:t>
      </w:r>
    </w:p>
    <w:p w14:paraId="6D9F15A0">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（3）吸收器：清洗吸收器管程，去除内部的杂质和污垢，保证换热效率，清洗后通过流量测试，确保符合设备设计参数。
</w:t>
      </w:r>
    </w:p>
    <w:p w14:paraId="40CA89D7">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（4）机组内部部件：检查机组内部的阀门、仪表等部件，进行清洁和必要的调试，确保阀门开关灵活、仪表显示准确。
</w:t>
      </w:r>
    </w:p>
    <w:p w14:paraId="0F4B17C1">
      <w:pPr>
        <w:numPr>
          <w:ilvl w:val="0"/>
          <w:numId w:val="0"/>
        </w:numPr>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4、冷却塔清洗</w:t>
      </w:r>
    </w:p>
    <w:p w14:paraId="19357F21">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（1）塔体内部：清除水垢、淤泥、微生物藻类等杂质，对塔体进行全面冲洗，冲洗后塔体内部无可见杂质。
</w:t>
      </w:r>
    </w:p>
    <w:p w14:paraId="100533F2">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2）填料：对填料缝隙间的污泥水垢进行彻底清洗，清洗后填料内部无污垢附着物，清洗过程中检查是否有破损、老化情况，对损坏的填料进行更换（更换数量根据实际检查情况确定，更换的填料需与原填料型号、材质一致）。
</w:t>
      </w:r>
    </w:p>
    <w:p w14:paraId="2DA644AF">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（3）布水器：清洗布水孔，确保布水均匀，偏差不超过 5%，检查布水器转动是否灵活，转动无卡顿现象，如有故障及时维修。
</w:t>
      </w:r>
    </w:p>
    <w:p w14:paraId="54B516E9">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（4）集水池：清除池内的沉积物、杂物，对池壁进行清洗消毒，消毒采用符合医疗场所要求的消毒剂，确保池壁无菌。
</w:t>
      </w:r>
    </w:p>
    <w:p w14:paraId="5A426BA1">
      <w:pPr>
        <w:numPr>
          <w:ilvl w:val="0"/>
          <w:numId w:val="0"/>
        </w:numPr>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5、冷却水管路
</w:t>
      </w:r>
    </w:p>
    <w:p w14:paraId="7502EF62">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1）管道内壁：采用专业清洗设备和专业清洗药剂清除水垢、铁锈、淤泥等杂质，清洗后必须具有MSDS和出厂检测报告的镀膜剂对管道内部进行全面镀膜；清洗后管道内无水垢、无污泥、水质清亮、Y型过滤器无垢化物无垃圾附着物。</w:t>
      </w:r>
    </w:p>
    <w:p w14:paraId="4FDA814C">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（2）阀门：对各类阀门进行拆卸清洗，检查阀门的开关灵活性和密封性，阀门开关力矩不超过设计值的 120%，密封性能符合相关标准，必要时进行维修或更换。</w:t>
      </w:r>
    </w:p>
    <w:p w14:paraId="0DCF115B">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（3）Y型过滤器：拆卸过滤器，清洗滤网，去除滤网上的杂质，如滤网损坏则进行更换，更换的滤网精度与原滤网一致。</w:t>
      </w:r>
    </w:p>
    <w:p w14:paraId="4A400002">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（4）系统清洗预膜之后，水质清澈，系统管壁形成了一层致密的保护膜。</w:t>
      </w:r>
    </w:p>
    <w:p w14:paraId="67F7DC53">
      <w:pPr>
        <w:numPr>
          <w:ilvl w:val="0"/>
          <w:numId w:val="0"/>
        </w:numPr>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6、冷冻水管路清洗</w:t>
      </w:r>
    </w:p>
    <w:p w14:paraId="66FE53DD">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1）管道内壁：采用专业清洗设备和专业清洗药剂清除水垢、铁锈、淤泥等杂质，清洗后必须具有MSDS和出厂检测报告的镀膜剂对管道内部进行全面镀膜；清洗后管道内无水垢、无污泥、水质清亮、Y型过滤器无垢化物无垃圾附着物。
</w:t>
      </w:r>
    </w:p>
    <w:p w14:paraId="0B1C3B03">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（2）Y型过滤器：清洗滤网，去除杂质，滤网损坏则更换，更换后的过滤器过滤效率符合设备要求。</w:t>
      </w:r>
    </w:p>
    <w:p w14:paraId="1432868E">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（3）系统清洗预膜之后，水质清澈，系统管壁形成了一层致密的保护膜。</w:t>
      </w:r>
    </w:p>
    <w:p w14:paraId="5E29A258">
      <w:pPr>
        <w:numPr>
          <w:ilvl w:val="0"/>
          <w:numId w:val="0"/>
        </w:numPr>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7、清洗后由第三方具有CMA检测资质的检测机构对清洗消毒质量进行检测，水质需符合以下水质标准要求，检测指标如下：</w:t>
      </w:r>
    </w:p>
    <w:p w14:paraId="37151B3A">
      <w:pPr>
        <w:pStyle w:val="5"/>
        <w:spacing w:line="360" w:lineRule="auto"/>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pH值   6.8～9.5</w:t>
      </w:r>
    </w:p>
    <w:p w14:paraId="29BB3AFD">
      <w:pPr>
        <w:pStyle w:val="5"/>
        <w:spacing w:line="360" w:lineRule="auto"/>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电导率（µs/cm）＜2500</w:t>
      </w:r>
    </w:p>
    <w:p w14:paraId="4D3B8547">
      <w:pPr>
        <w:pStyle w:val="5"/>
        <w:spacing w:line="360" w:lineRule="auto"/>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总 硬 度（mg/L，以CaCO3计）≤600</w:t>
      </w:r>
    </w:p>
    <w:p w14:paraId="7789928B">
      <w:pPr>
        <w:pStyle w:val="5"/>
        <w:spacing w:line="360" w:lineRule="auto"/>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总 碱 度（mg/L，以CaCO3计）≤600</w:t>
      </w:r>
    </w:p>
    <w:p w14:paraId="27AC9EDE">
      <w:pPr>
        <w:pStyle w:val="5"/>
        <w:spacing w:line="360" w:lineRule="auto"/>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氯  根（mg/L）≤300</w:t>
      </w:r>
    </w:p>
    <w:p w14:paraId="1ABBC6BF">
      <w:pPr>
        <w:pStyle w:val="5"/>
        <w:spacing w:line="360" w:lineRule="auto"/>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总  铁（mg/L）≤1.0</w:t>
      </w:r>
    </w:p>
    <w:p w14:paraId="0F06C0DD">
      <w:pPr>
        <w:pStyle w:val="5"/>
        <w:spacing w:line="360" w:lineRule="auto"/>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总  铜（mg/L）＜0.1</w:t>
      </w:r>
    </w:p>
    <w:p w14:paraId="212E8625">
      <w:pPr>
        <w:pStyle w:val="5"/>
        <w:spacing w:line="360" w:lineRule="auto"/>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钢腐蚀速率（mm/a）＜0.075</w:t>
      </w:r>
    </w:p>
    <w:p w14:paraId="36F9372A">
      <w:pPr>
        <w:pStyle w:val="5"/>
        <w:spacing w:line="360" w:lineRule="auto"/>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铜腐蚀速率（mm/a）＜0.005</w:t>
      </w:r>
    </w:p>
    <w:p w14:paraId="29A255EB">
      <w:pPr>
        <w:pStyle w:val="5"/>
        <w:spacing w:line="360" w:lineRule="auto"/>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浊  度（mg/L）≤20</w:t>
      </w:r>
    </w:p>
    <w:p w14:paraId="7C15DC41">
      <w:pPr>
        <w:pStyle w:val="5"/>
        <w:spacing w:line="360" w:lineRule="auto"/>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细菌总数（个/mL）＜1×105</w:t>
      </w:r>
    </w:p>
    <w:p w14:paraId="05319E9F">
      <w:pPr>
        <w:pStyle w:val="5"/>
        <w:spacing w:line="360" w:lineRule="auto"/>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军团菌不得检出</w:t>
      </w:r>
    </w:p>
    <w:p w14:paraId="265C930A">
      <w:pPr>
        <w:pStyle w:val="4"/>
        <w:numPr>
          <w:ilvl w:val="0"/>
          <w:numId w:val="0"/>
        </w:numP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（二）年度水质保养技术服务要求</w:t>
      </w:r>
    </w:p>
    <w:p w14:paraId="3253F91D">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1、水质保养期限合同签订后365天。</w:t>
      </w:r>
    </w:p>
    <w:p w14:paraId="1DED91DC">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2、须提供水处理的年度计划和全部药剂（包含具体药剂的用法用量说明），水处理的相关技术培训以及技术服务。（成交供应商在进场前需提供药剂的产品说明书、出厂检测合格证和药剂数量清单，送货单需甲方现场签收确认）。</w:t>
      </w:r>
    </w:p>
    <w:p w14:paraId="5655F8C7">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3、每年度对冷却水，冷冻水和热水系统进行一次大清洗和预膜，去除系统管路上附着的浮锈和粘泥，对系统管路进行预膜处理，拆洗制冷机房的过滤器。</w:t>
      </w:r>
    </w:p>
    <w:p w14:paraId="4185C855">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4、供冷期间每周对冷却水系统派人现场检测电导率，合理排污和加药，进行杀菌灭藻和缓蚀阻垢处理，在保证合理的浓缩倍数的前提下确保冷却水系统良好的换热效果。</w:t>
      </w:r>
    </w:p>
    <w:p w14:paraId="00E7A78E">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5、供冷期间每月清洗一次冷却塔，对冷却塔的填料、塔盘、集水槽和布水盘进行清理。</w:t>
      </w:r>
    </w:p>
    <w:p w14:paraId="57240FC7">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6、供冷季结束后，成交供应商需要对冷却水系统投加冬季湿保养药剂，减缓冬季冷却水系统管路的腐蚀和细菌滋生。</w:t>
      </w:r>
    </w:p>
    <w:p w14:paraId="5BE0DFB2">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7、供冷季每年对冷却水系统取样一次委托有相应资质的第三方单位进行军团菌检测，成交供应商务必保证检测合格，否则需承担相应责任和由此带来的损失。</w:t>
      </w:r>
    </w:p>
    <w:p w14:paraId="4DC40897">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8、供冷期间每月对冷冻水系统/（供热期间每月对热水系统）合理排污和加药，进行杀菌灭藻和缓蚀阻垢处理。</w:t>
      </w:r>
    </w:p>
    <w:p w14:paraId="2B5E80F3">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9、成交供应商每月对正在运行的冷冻水系统（或热水系统）取样进行静态挂片测试，确保30天内标准挂片不产生腐蚀。</w:t>
      </w:r>
    </w:p>
    <w:p w14:paraId="653C8819">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10、供冷期间每月对冷却水系统和冷冻水系统进行水质化验，供热期间每月对热水系统进行水质化验，并向甲方提供检测报告，水质需符合循环水水质标准GB50050-2012的要求：</w:t>
      </w:r>
    </w:p>
    <w:tbl>
      <w:tblPr>
        <w:tblStyle w:val="6"/>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2"/>
        <w:gridCol w:w="2366"/>
        <w:gridCol w:w="2692"/>
      </w:tblGrid>
      <w:tr w14:paraId="739EE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3442" w:type="dxa"/>
            <w:noWrap w:val="0"/>
            <w:vAlign w:val="center"/>
          </w:tcPr>
          <w:p w14:paraId="5B567017">
            <w:pPr>
              <w:adjustRightInd w:val="0"/>
              <w:snapToGrid w:val="0"/>
              <w:spacing w:line="240" w:lineRule="atLeast"/>
              <w:ind w:left="420" w:hanging="480" w:hanging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水处理控制指标</w:t>
            </w:r>
          </w:p>
        </w:tc>
        <w:tc>
          <w:tcPr>
            <w:tcW w:w="2366" w:type="dxa"/>
            <w:noWrap w:val="0"/>
            <w:vAlign w:val="center"/>
          </w:tcPr>
          <w:p w14:paraId="129B7138">
            <w:pPr>
              <w:adjustRightInd w:val="0"/>
              <w:snapToGrid w:val="0"/>
              <w:spacing w:line="240"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冷却水系统</w:t>
            </w:r>
          </w:p>
        </w:tc>
        <w:tc>
          <w:tcPr>
            <w:tcW w:w="2692" w:type="dxa"/>
            <w:noWrap w:val="0"/>
            <w:vAlign w:val="center"/>
          </w:tcPr>
          <w:p w14:paraId="3F4EC04E">
            <w:pPr>
              <w:adjustRightInd w:val="0"/>
              <w:snapToGrid w:val="0"/>
              <w:spacing w:line="240"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冷冻水/热水系统</w:t>
            </w:r>
          </w:p>
        </w:tc>
      </w:tr>
      <w:tr w14:paraId="62576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3442" w:type="dxa"/>
            <w:noWrap w:val="0"/>
            <w:vAlign w:val="center"/>
          </w:tcPr>
          <w:p w14:paraId="38EB00B0">
            <w:pPr>
              <w:ind w:left="420" w:hanging="480" w:hanging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pH值</w:t>
            </w:r>
          </w:p>
        </w:tc>
        <w:tc>
          <w:tcPr>
            <w:tcW w:w="2366" w:type="dxa"/>
            <w:noWrap w:val="0"/>
            <w:vAlign w:val="center"/>
          </w:tcPr>
          <w:p w14:paraId="2F41C06E">
            <w:pPr>
              <w:ind w:left="420" w:leftChars="0" w:hanging="420" w:hanging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Cs w:val="21"/>
              </w:rPr>
              <w:t>6.8～9.5</w:t>
            </w:r>
          </w:p>
        </w:tc>
        <w:tc>
          <w:tcPr>
            <w:tcW w:w="2692" w:type="dxa"/>
            <w:noWrap w:val="0"/>
            <w:vAlign w:val="center"/>
          </w:tcPr>
          <w:p w14:paraId="22BFF021">
            <w:pPr>
              <w:adjustRightInd w:val="0"/>
              <w:snapToGrid w:val="0"/>
              <w:spacing w:line="240"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Cs w:val="21"/>
              </w:rPr>
              <w:t>8.0～10.5</w:t>
            </w:r>
          </w:p>
        </w:tc>
      </w:tr>
      <w:tr w14:paraId="3E6AB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3442" w:type="dxa"/>
            <w:noWrap w:val="0"/>
            <w:vAlign w:val="center"/>
          </w:tcPr>
          <w:p w14:paraId="3340E010">
            <w:pPr>
              <w:ind w:left="420" w:hanging="480" w:hanging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电导率（µs/cm）</w:t>
            </w:r>
          </w:p>
        </w:tc>
        <w:tc>
          <w:tcPr>
            <w:tcW w:w="2366" w:type="dxa"/>
            <w:noWrap w:val="0"/>
            <w:vAlign w:val="center"/>
          </w:tcPr>
          <w:p w14:paraId="3D52BB4A">
            <w:pPr>
              <w:ind w:left="420" w:leftChars="0" w:hanging="420" w:hanging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Cs w:val="21"/>
              </w:rPr>
              <w:t>＜2500</w:t>
            </w:r>
          </w:p>
        </w:tc>
        <w:tc>
          <w:tcPr>
            <w:tcW w:w="2692" w:type="dxa"/>
            <w:noWrap w:val="0"/>
            <w:vAlign w:val="center"/>
          </w:tcPr>
          <w:p w14:paraId="729507AA">
            <w:pPr>
              <w:adjustRightInd w:val="0"/>
              <w:snapToGrid w:val="0"/>
              <w:spacing w:line="240"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Cs w:val="21"/>
              </w:rPr>
              <w:t>＜3000</w:t>
            </w:r>
          </w:p>
        </w:tc>
      </w:tr>
      <w:tr w14:paraId="1E308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3442" w:type="dxa"/>
            <w:noWrap w:val="0"/>
            <w:vAlign w:val="center"/>
          </w:tcPr>
          <w:p w14:paraId="5C78F127">
            <w:pPr>
              <w:spacing w:line="240" w:lineRule="exact"/>
              <w:ind w:left="420" w:hanging="480" w:hanging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总 硬 度（mg/L，以CaCO</w:t>
            </w:r>
            <w:r>
              <w:rPr>
                <w:rFonts w:hint="eastAsia" w:ascii="方正仿宋_GBK" w:hAnsi="方正仿宋_GBK" w:eastAsia="方正仿宋_GBK" w:cs="方正仿宋_GBK"/>
                <w:sz w:val="24"/>
                <w:szCs w:val="24"/>
                <w:vertAlign w:val="subscript"/>
              </w:rPr>
              <w:t>3</w:t>
            </w:r>
            <w:r>
              <w:rPr>
                <w:rFonts w:hint="eastAsia" w:ascii="方正仿宋_GBK" w:hAnsi="方正仿宋_GBK" w:eastAsia="方正仿宋_GBK" w:cs="方正仿宋_GBK"/>
                <w:sz w:val="24"/>
                <w:szCs w:val="24"/>
              </w:rPr>
              <w:t>计）</w:t>
            </w:r>
          </w:p>
        </w:tc>
        <w:tc>
          <w:tcPr>
            <w:tcW w:w="2366" w:type="dxa"/>
            <w:noWrap w:val="0"/>
            <w:vAlign w:val="center"/>
          </w:tcPr>
          <w:p w14:paraId="07EB2D33">
            <w:pPr>
              <w:ind w:left="420" w:leftChars="0" w:hanging="420" w:hanging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Cs w:val="21"/>
              </w:rPr>
              <w:t>≤600</w:t>
            </w:r>
          </w:p>
        </w:tc>
        <w:tc>
          <w:tcPr>
            <w:tcW w:w="2692" w:type="dxa"/>
            <w:noWrap w:val="0"/>
            <w:vAlign w:val="center"/>
          </w:tcPr>
          <w:p w14:paraId="0E5A6BB3">
            <w:pPr>
              <w:adjustRightInd w:val="0"/>
              <w:snapToGrid w:val="0"/>
              <w:spacing w:line="240"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Cs w:val="21"/>
              </w:rPr>
              <w:t>——</w:t>
            </w:r>
          </w:p>
        </w:tc>
      </w:tr>
      <w:tr w14:paraId="55EC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3442" w:type="dxa"/>
            <w:noWrap w:val="0"/>
            <w:vAlign w:val="center"/>
          </w:tcPr>
          <w:p w14:paraId="61072662">
            <w:pPr>
              <w:spacing w:line="240" w:lineRule="exact"/>
              <w:ind w:left="420" w:hanging="480" w:hanging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总 碱 度（mg/L，以CaCO</w:t>
            </w:r>
            <w:r>
              <w:rPr>
                <w:rFonts w:hint="eastAsia" w:ascii="方正仿宋_GBK" w:hAnsi="方正仿宋_GBK" w:eastAsia="方正仿宋_GBK" w:cs="方正仿宋_GBK"/>
                <w:sz w:val="24"/>
                <w:szCs w:val="24"/>
                <w:vertAlign w:val="subscript"/>
              </w:rPr>
              <w:t>3</w:t>
            </w:r>
            <w:r>
              <w:rPr>
                <w:rFonts w:hint="eastAsia" w:ascii="方正仿宋_GBK" w:hAnsi="方正仿宋_GBK" w:eastAsia="方正仿宋_GBK" w:cs="方正仿宋_GBK"/>
                <w:sz w:val="24"/>
                <w:szCs w:val="24"/>
              </w:rPr>
              <w:t>计）</w:t>
            </w:r>
          </w:p>
        </w:tc>
        <w:tc>
          <w:tcPr>
            <w:tcW w:w="2366" w:type="dxa"/>
            <w:noWrap w:val="0"/>
            <w:vAlign w:val="center"/>
          </w:tcPr>
          <w:p w14:paraId="2B143B42">
            <w:pPr>
              <w:ind w:left="420" w:leftChars="0" w:hanging="420" w:hanging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Cs w:val="21"/>
              </w:rPr>
              <w:t>≤500</w:t>
            </w:r>
          </w:p>
        </w:tc>
        <w:tc>
          <w:tcPr>
            <w:tcW w:w="2692" w:type="dxa"/>
            <w:noWrap w:val="0"/>
            <w:vAlign w:val="center"/>
          </w:tcPr>
          <w:p w14:paraId="203C5721">
            <w:pPr>
              <w:adjustRightInd w:val="0"/>
              <w:snapToGrid w:val="0"/>
              <w:spacing w:line="240"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Cs w:val="21"/>
              </w:rPr>
              <w:t>——</w:t>
            </w:r>
          </w:p>
        </w:tc>
      </w:tr>
      <w:tr w14:paraId="392FB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3442" w:type="dxa"/>
            <w:noWrap w:val="0"/>
            <w:vAlign w:val="center"/>
          </w:tcPr>
          <w:p w14:paraId="6162F451">
            <w:pPr>
              <w:ind w:left="420" w:hanging="480" w:hanging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氯  根（mg/L）</w:t>
            </w:r>
          </w:p>
        </w:tc>
        <w:tc>
          <w:tcPr>
            <w:tcW w:w="2366" w:type="dxa"/>
            <w:noWrap w:val="0"/>
            <w:vAlign w:val="center"/>
          </w:tcPr>
          <w:p w14:paraId="3AAE8289">
            <w:pPr>
              <w:spacing w:line="260" w:lineRule="exact"/>
              <w:ind w:left="420" w:leftChars="0" w:hanging="420" w:hanging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Cs w:val="21"/>
              </w:rPr>
              <w:t>≤300</w:t>
            </w:r>
          </w:p>
        </w:tc>
        <w:tc>
          <w:tcPr>
            <w:tcW w:w="2692" w:type="dxa"/>
            <w:noWrap w:val="0"/>
            <w:vAlign w:val="center"/>
          </w:tcPr>
          <w:p w14:paraId="151DFE69">
            <w:pPr>
              <w:adjustRightInd w:val="0"/>
              <w:snapToGrid w:val="0"/>
              <w:spacing w:line="240"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Cs w:val="21"/>
              </w:rPr>
              <w:t>——</w:t>
            </w:r>
          </w:p>
        </w:tc>
      </w:tr>
      <w:tr w14:paraId="2B47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3442" w:type="dxa"/>
            <w:noWrap w:val="0"/>
            <w:vAlign w:val="center"/>
          </w:tcPr>
          <w:p w14:paraId="6B7EF7D9">
            <w:pPr>
              <w:ind w:left="420" w:hanging="480" w:hanging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总  铁（mg/L）</w:t>
            </w:r>
          </w:p>
        </w:tc>
        <w:tc>
          <w:tcPr>
            <w:tcW w:w="2366" w:type="dxa"/>
            <w:noWrap w:val="0"/>
            <w:vAlign w:val="center"/>
          </w:tcPr>
          <w:p w14:paraId="18F2BA42">
            <w:pPr>
              <w:ind w:left="420" w:leftChars="0" w:hanging="420" w:hanging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Cs w:val="21"/>
              </w:rPr>
              <w:t>≤1.0</w:t>
            </w:r>
          </w:p>
        </w:tc>
        <w:tc>
          <w:tcPr>
            <w:tcW w:w="2692" w:type="dxa"/>
            <w:noWrap w:val="0"/>
            <w:vAlign w:val="center"/>
          </w:tcPr>
          <w:p w14:paraId="6C5CF717">
            <w:pPr>
              <w:adjustRightInd w:val="0"/>
              <w:snapToGrid w:val="0"/>
              <w:spacing w:line="240"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Cs w:val="21"/>
              </w:rPr>
              <w:t>——</w:t>
            </w:r>
          </w:p>
        </w:tc>
      </w:tr>
      <w:tr w14:paraId="42692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3442" w:type="dxa"/>
            <w:noWrap w:val="0"/>
            <w:vAlign w:val="center"/>
          </w:tcPr>
          <w:p w14:paraId="16BCDF44">
            <w:pPr>
              <w:ind w:left="420" w:hanging="480" w:hanging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总  铜（mg/L）</w:t>
            </w:r>
          </w:p>
        </w:tc>
        <w:tc>
          <w:tcPr>
            <w:tcW w:w="2366" w:type="dxa"/>
            <w:noWrap w:val="0"/>
            <w:vAlign w:val="center"/>
          </w:tcPr>
          <w:p w14:paraId="4F09EFC3">
            <w:pPr>
              <w:ind w:left="420" w:leftChars="0" w:hanging="420" w:hanging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Cs w:val="21"/>
              </w:rPr>
              <w:t>＜0.1</w:t>
            </w:r>
          </w:p>
        </w:tc>
        <w:tc>
          <w:tcPr>
            <w:tcW w:w="2692" w:type="dxa"/>
            <w:noWrap w:val="0"/>
            <w:vAlign w:val="center"/>
          </w:tcPr>
          <w:p w14:paraId="55408595">
            <w:pPr>
              <w:adjustRightInd w:val="0"/>
              <w:snapToGrid w:val="0"/>
              <w:spacing w:line="240"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Cs w:val="21"/>
              </w:rPr>
              <w:t>——</w:t>
            </w:r>
          </w:p>
        </w:tc>
      </w:tr>
      <w:tr w14:paraId="6FDC5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3442" w:type="dxa"/>
            <w:noWrap w:val="0"/>
            <w:vAlign w:val="center"/>
          </w:tcPr>
          <w:p w14:paraId="59D20F67">
            <w:pPr>
              <w:ind w:left="420" w:hanging="480" w:hanging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钢腐蚀速率（mm/a）</w:t>
            </w:r>
          </w:p>
        </w:tc>
        <w:tc>
          <w:tcPr>
            <w:tcW w:w="2366" w:type="dxa"/>
            <w:noWrap w:val="0"/>
            <w:vAlign w:val="center"/>
          </w:tcPr>
          <w:p w14:paraId="1319BB04">
            <w:pPr>
              <w:ind w:left="420" w:leftChars="0" w:hanging="420" w:hanging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Cs w:val="21"/>
              </w:rPr>
              <w:t>——</w:t>
            </w:r>
          </w:p>
        </w:tc>
        <w:tc>
          <w:tcPr>
            <w:tcW w:w="2692" w:type="dxa"/>
            <w:noWrap w:val="0"/>
            <w:vAlign w:val="center"/>
          </w:tcPr>
          <w:p w14:paraId="359000B6">
            <w:pPr>
              <w:adjustRightInd w:val="0"/>
              <w:snapToGrid w:val="0"/>
              <w:spacing w:line="240"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Cs w:val="21"/>
              </w:rPr>
              <w:t>＜0.075</w:t>
            </w:r>
          </w:p>
        </w:tc>
      </w:tr>
      <w:tr w14:paraId="050F8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3442" w:type="dxa"/>
            <w:noWrap w:val="0"/>
            <w:vAlign w:val="center"/>
          </w:tcPr>
          <w:p w14:paraId="0356F47A">
            <w:pPr>
              <w:ind w:left="420" w:hanging="480" w:hanging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铜腐蚀速率（mm/a）</w:t>
            </w:r>
          </w:p>
        </w:tc>
        <w:tc>
          <w:tcPr>
            <w:tcW w:w="2366" w:type="dxa"/>
            <w:noWrap w:val="0"/>
            <w:vAlign w:val="center"/>
          </w:tcPr>
          <w:p w14:paraId="58E9F1AE">
            <w:pPr>
              <w:ind w:left="420" w:leftChars="0" w:hanging="420" w:hanging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Cs w:val="21"/>
              </w:rPr>
              <w:t>——</w:t>
            </w:r>
          </w:p>
        </w:tc>
        <w:tc>
          <w:tcPr>
            <w:tcW w:w="2692" w:type="dxa"/>
            <w:noWrap w:val="0"/>
            <w:vAlign w:val="center"/>
          </w:tcPr>
          <w:p w14:paraId="46A09F27">
            <w:pPr>
              <w:adjustRightInd w:val="0"/>
              <w:snapToGrid w:val="0"/>
              <w:spacing w:line="240"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Cs w:val="21"/>
              </w:rPr>
              <w:t>＜0.005</w:t>
            </w:r>
          </w:p>
        </w:tc>
      </w:tr>
      <w:tr w14:paraId="34FEE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3442" w:type="dxa"/>
            <w:noWrap w:val="0"/>
            <w:vAlign w:val="center"/>
          </w:tcPr>
          <w:p w14:paraId="549076D4">
            <w:pPr>
              <w:ind w:left="420" w:hanging="480" w:hanging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浊  度（mg/L）</w:t>
            </w:r>
          </w:p>
        </w:tc>
        <w:tc>
          <w:tcPr>
            <w:tcW w:w="2366" w:type="dxa"/>
            <w:noWrap w:val="0"/>
            <w:vAlign w:val="center"/>
          </w:tcPr>
          <w:p w14:paraId="4AA90237">
            <w:pPr>
              <w:ind w:left="420" w:leftChars="0" w:hanging="420" w:hanging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Cs w:val="21"/>
              </w:rPr>
              <w:t>≤20</w:t>
            </w:r>
          </w:p>
        </w:tc>
        <w:tc>
          <w:tcPr>
            <w:tcW w:w="2692" w:type="dxa"/>
            <w:noWrap w:val="0"/>
            <w:vAlign w:val="center"/>
          </w:tcPr>
          <w:p w14:paraId="6DD90904">
            <w:pPr>
              <w:adjustRightInd w:val="0"/>
              <w:snapToGrid w:val="0"/>
              <w:spacing w:line="240"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Cs w:val="21"/>
              </w:rPr>
              <w:t>≤20</w:t>
            </w:r>
          </w:p>
        </w:tc>
      </w:tr>
      <w:tr w14:paraId="42769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3442" w:type="dxa"/>
            <w:noWrap w:val="0"/>
            <w:vAlign w:val="center"/>
          </w:tcPr>
          <w:p w14:paraId="747DE43C">
            <w:pPr>
              <w:ind w:left="420" w:hanging="480" w:hanging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细菌总数（个/mL）</w:t>
            </w:r>
          </w:p>
        </w:tc>
        <w:tc>
          <w:tcPr>
            <w:tcW w:w="2366" w:type="dxa"/>
            <w:noWrap w:val="0"/>
            <w:vAlign w:val="center"/>
          </w:tcPr>
          <w:p w14:paraId="79C93880">
            <w:pPr>
              <w:ind w:left="420" w:leftChars="0" w:hanging="420" w:hanging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Cs w:val="21"/>
              </w:rPr>
              <w:t>＜1×10</w:t>
            </w:r>
            <w:r>
              <w:rPr>
                <w:rFonts w:hint="eastAsia" w:ascii="方正仿宋_GBK" w:hAnsi="方正仿宋_GBK" w:eastAsia="方正仿宋_GBK" w:cs="方正仿宋_GBK"/>
                <w:szCs w:val="21"/>
                <w:vertAlign w:val="superscript"/>
              </w:rPr>
              <w:t>5</w:t>
            </w:r>
          </w:p>
        </w:tc>
        <w:tc>
          <w:tcPr>
            <w:tcW w:w="2692" w:type="dxa"/>
            <w:noWrap w:val="0"/>
            <w:vAlign w:val="center"/>
          </w:tcPr>
          <w:p w14:paraId="3E7A0729">
            <w:pPr>
              <w:adjustRightInd w:val="0"/>
              <w:snapToGrid w:val="0"/>
              <w:spacing w:line="240"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Cs w:val="21"/>
              </w:rPr>
              <w:t>＜1×10</w:t>
            </w:r>
            <w:r>
              <w:rPr>
                <w:rFonts w:hint="eastAsia" w:ascii="方正仿宋_GBK" w:hAnsi="方正仿宋_GBK" w:eastAsia="方正仿宋_GBK" w:cs="方正仿宋_GBK"/>
                <w:szCs w:val="21"/>
                <w:vertAlign w:val="superscript"/>
              </w:rPr>
              <w:t>5</w:t>
            </w:r>
          </w:p>
        </w:tc>
      </w:tr>
    </w:tbl>
    <w:p w14:paraId="2F0A6BA5">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11、每年度对冷却水和冷冻水系统取样一次，委托送检到具有CMA资质的第三方单位进行检测，并出具相应报告，如不合格，必须整改后重新委托送样，所有费用均由水处理服务单位承担；另需清洗单位提供同类型项目的清洗检测CMA合格报告供查验。（成交后查验）</w:t>
      </w:r>
    </w:p>
    <w:p w14:paraId="596E6964">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12、一个制冷季内空调主机冷凝器趋近温差升幅不超过1度，如未达标，成交供应商需马上查明原因，书面反馈到甲方，并免费负责冷凝器的清洗。甲方有权对成交供应商未达标的情况进行罚款，如两次或者两次以上出现不达标情况，甲方有权中止合同。</w:t>
      </w:r>
    </w:p>
    <w:p w14:paraId="46B42DB5">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13、清洗主机时做到不影响其他主机使用（记录各主机气密性参数，清洗药剂不得腐蚀机组，或者清洗过程损坏主机的需自费委托第三方有资质公司维修）。</w:t>
      </w:r>
    </w:p>
    <w:p w14:paraId="2CEA6EE9">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14、清洗后对换热管使用粒子图像测速（PIV）技术，分析清洗前后流体动力学特性，使溶液流速均匀性提升至90%以上。</w:t>
      </w:r>
    </w:p>
    <w:p w14:paraId="4953BD05">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15、清洗后假如检查出主机有损伤情况对换热管进行涡流探伤检测（费用由清洗单位负责）。</w:t>
      </w:r>
    </w:p>
    <w:p w14:paraId="76C7431A">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16、为监督水处理服务的效果，甲方有权随时通知成交供应商一起现场取样封样，对水样进行挂片测试或者送第三方单位进行检测，抽检合格费用由甲方承担，如抽检不合格，成交供应商需无条件整改至水质合格，并承担此过程中所产生的所有费用。甲方有权对成交供应商抽检出现不合格的情况进行罚款处理，如果两次或者两次以上出现抽检不合格，甲方有权中止合同。</w:t>
      </w:r>
    </w:p>
    <w:p w14:paraId="04A8F986">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17、成交供应商每次提供服务后均须向甲方提供服务工作单，并经甲方与主机维保单位共同验收合格及签确后，方为完成本次服务；如甲方验收不合格的，成交供应商须无条件进行整改直至甲方验收合格为止。</w:t>
      </w:r>
    </w:p>
    <w:p w14:paraId="34477D59">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18、成交供应商水质不达标或成交供应商工作人员操作不当而造成对中央空调水系统及其设备的损失，成交供应商应立即采取补救措施，并赔偿甲方因此受到的损失。如两次或者两次以上出现服务质量问题，甲方有权解除合同。</w:t>
      </w:r>
    </w:p>
    <w:p w14:paraId="08627652">
      <w:pPr>
        <w:pStyle w:val="3"/>
        <w:ind w:firstLine="560" w:firstLineChars="200"/>
        <w:rPr>
          <w:rFonts w:hint="eastAsia" w:ascii="方正仿宋_GBK" w:hAnsi="方正仿宋_GBK" w:eastAsia="方正仿宋_GBK" w:cs="方正仿宋_GBK"/>
          <w:b w:val="0"/>
          <w:bCs w:val="0"/>
          <w:color w:val="auto"/>
          <w:kern w:val="0"/>
          <w:sz w:val="28"/>
          <w:szCs w:val="28"/>
          <w:shd w:val="clear" w:color="auto" w:fill="FFFFFF"/>
          <w:lang w:val="en-US" w:eastAsia="zh-CN" w:bidi="ar-SA"/>
        </w:rPr>
      </w:pPr>
      <w:r>
        <w:rPr>
          <w:rFonts w:hint="eastAsia" w:ascii="方正仿宋_GBK" w:hAnsi="方正仿宋_GBK" w:eastAsia="方正仿宋_GBK" w:cs="方正仿宋_GBK"/>
          <w:b w:val="0"/>
          <w:bCs w:val="0"/>
          <w:color w:val="auto"/>
          <w:kern w:val="0"/>
          <w:sz w:val="28"/>
          <w:szCs w:val="28"/>
          <w:shd w:val="clear" w:color="auto" w:fill="FFFFFF"/>
          <w:lang w:val="en-US" w:eastAsia="zh-CN" w:bidi="ar-SA"/>
        </w:rPr>
        <w:t>19、成交供应商提供应急响应服务，需要2小时赶到现场。</w:t>
      </w:r>
    </w:p>
    <w:p w14:paraId="7A33B226">
      <w:pPr>
        <w:pStyle w:val="3"/>
        <w:rPr>
          <w:rFonts w:hint="eastAsia" w:ascii="方正仿宋_GBK" w:hAnsi="方正仿宋_GBK" w:eastAsia="方正仿宋_GBK" w:cs="方正仿宋_GBK"/>
          <w:b/>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（三）商务要求</w:t>
      </w:r>
      <w:bookmarkEnd w:id="4"/>
    </w:p>
    <w:p w14:paraId="7B1D9D11">
      <w:pPr>
        <w:pStyle w:val="4"/>
        <w:numPr>
          <w:ilvl w:val="0"/>
          <w:numId w:val="0"/>
        </w:numPr>
        <w:spacing w:line="360" w:lineRule="auto"/>
        <w:ind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1、付款方式：</w:t>
      </w:r>
    </w:p>
    <w:p w14:paraId="4ED09E4A">
      <w:pPr>
        <w:pStyle w:val="4"/>
        <w:numPr>
          <w:ilvl w:val="0"/>
          <w:numId w:val="0"/>
        </w:numPr>
        <w:spacing w:line="360" w:lineRule="auto"/>
        <w:ind w:firstLine="560" w:firstLineChars="200"/>
        <w:jc w:val="left"/>
        <w:rPr>
          <w:rFonts w:hint="eastAsia" w:ascii="仿宋" w:hAnsi="仿宋" w:eastAsia="仿宋" w:cs="仿宋"/>
          <w:b w:val="0"/>
          <w:bCs w:val="0"/>
          <w:sz w:val="24"/>
          <w:szCs w:val="24"/>
          <w:lang w:val="en-US" w:eastAsia="zh-CN"/>
        </w:rPr>
      </w:pPr>
      <w:r>
        <w:rPr>
          <w:rFonts w:hint="eastAsia" w:ascii="方正仿宋_GBK" w:hAnsi="方正仿宋_GBK" w:eastAsia="方正仿宋_GBK" w:cs="方正仿宋_GBK"/>
          <w:color w:val="auto"/>
          <w:sz w:val="28"/>
          <w:szCs w:val="28"/>
          <w:lang w:val="en-US" w:eastAsia="zh-CN"/>
        </w:rPr>
        <w:t>（1）清洗消毒完成并经第三方检测机构检测合格后，采购人向成交成交供应商支付合同金额的30%款项；年度水质保养技术服务期间满6个月，取得合格检测报告并经验收合格后支付合同款项目的30%。水质保养期限结束并验收合格以后支付合同金额的40%。</w:t>
      </w:r>
    </w:p>
    <w:p w14:paraId="7F3468A9">
      <w:pPr>
        <w:pStyle w:val="4"/>
        <w:numPr>
          <w:ilvl w:val="0"/>
          <w:numId w:val="0"/>
        </w:numPr>
        <w:spacing w:line="360" w:lineRule="auto"/>
        <w:ind w:firstLine="560" w:firstLineChars="200"/>
        <w:jc w:val="left"/>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（2）支付前，成交成交供应商须向采购人出具合法有效完整的完税发票及凭证资料（自检合格报告、日常水质保养记录、三方检测合格报告、支付申请等）进行支付结算。</w:t>
      </w:r>
    </w:p>
    <w:p w14:paraId="50DE3307">
      <w:pPr>
        <w:pStyle w:val="4"/>
        <w:numPr>
          <w:ilvl w:val="0"/>
          <w:numId w:val="0"/>
        </w:numPr>
        <w:spacing w:line="360" w:lineRule="auto"/>
        <w:ind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安全责任：在项目实施全过程中，供应商应做好质量控制、风险控制，并制定本项目实施的安全制度，因供应商原因致使设备使用过程中造成患者或他人人身伤害或财产损失的（包含水质不达标造成的损害），供应商应承担赔偿责任。如因供应商工作人员在履行职务过程中的疏忽、失职、过错等故意或者过失原因给采购人造成损失或侵害，包括但不限于采购人的直接经济损失和采购人自身的财产损失、由此而导致的采购人对任何第三方的法律责任等，供应商对此均应承担全部的赔偿责任，采购人若对外承担责任可向供应商追偿。</w:t>
      </w:r>
    </w:p>
    <w:p w14:paraId="5C1E583E">
      <w:pPr>
        <w:spacing w:line="360" w:lineRule="auto"/>
        <w:ind w:firstLine="560" w:firstLineChars="200"/>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 xml:space="preserve">3、其他未尽事宜双方在合同中另行协商约定。 </w:t>
      </w:r>
    </w:p>
    <w:p w14:paraId="39870B00">
      <w:pP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（四）验收及其他要求</w:t>
      </w:r>
    </w:p>
    <w:p w14:paraId="5385F738">
      <w:pPr>
        <w:pStyle w:val="4"/>
        <w:ind w:firstLine="560" w:firstLineChars="200"/>
      </w:pPr>
      <w:r>
        <w:rPr>
          <w:rFonts w:hint="eastAsia" w:ascii="方正仿宋_GBK" w:hAnsi="方正仿宋_GBK" w:eastAsia="方正仿宋_GBK" w:cs="方正仿宋_GBK"/>
          <w:sz w:val="28"/>
          <w:szCs w:val="28"/>
        </w:rPr>
        <w:t>1.采购人验收</w:t>
      </w:r>
      <w:r>
        <w:rPr>
          <w:rFonts w:hint="eastAsia" w:ascii="方正仿宋_GBK" w:hAnsi="方正仿宋_GBK" w:eastAsia="方正仿宋_GBK" w:cs="方正仿宋_GBK"/>
          <w:sz w:val="28"/>
          <w:szCs w:val="28"/>
          <w:lang w:eastAsia="zh-CN"/>
        </w:rPr>
        <w:t>参照</w:t>
      </w:r>
      <w:r>
        <w:rPr>
          <w:rFonts w:hint="eastAsia" w:ascii="方正仿宋_GBK" w:hAnsi="方正仿宋_GBK" w:eastAsia="方正仿宋_GBK" w:cs="方正仿宋_GBK"/>
          <w:sz w:val="28"/>
          <w:szCs w:val="28"/>
        </w:rPr>
        <w:t>《财政部关于进一步加强政府采购需求和履约验收管理的指导意见》(财库〔2016〕205号)和《巴中市财政局关于进一步加强政府采购项目合同履约验收管理工作的通知》（巴财采〔2021〕21号）的规定进行验收。</w:t>
      </w:r>
    </w:p>
    <w:p w14:paraId="2FDA5B3D">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DE219"/>
    <w:multiLevelType w:val="singleLevel"/>
    <w:tmpl w:val="8C2DE219"/>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827A37"/>
    <w:rsid w:val="5F827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Times New Roman" w:eastAsia="宋体" w:cs="Arial"/>
      <w:kern w:val="2"/>
      <w:sz w:val="21"/>
      <w:szCs w:val="22"/>
      <w:lang w:val="en-US" w:eastAsia="zh-CN" w:bidi="ar-SA"/>
    </w:rPr>
  </w:style>
  <w:style w:type="paragraph" w:styleId="2">
    <w:name w:val="heading 1"/>
    <w:basedOn w:val="1"/>
    <w:next w:val="1"/>
    <w:qFormat/>
    <w:uiPriority w:val="0"/>
    <w:pPr>
      <w:keepNext/>
      <w:keepLines/>
      <w:widowControl w:val="0"/>
      <w:outlineLvl w:val="0"/>
    </w:pPr>
    <w:rPr>
      <w:rFonts w:eastAsia="方正仿宋_GBK" w:cs="方正仿宋_GBK"/>
      <w:b/>
      <w:kern w:val="44"/>
      <w:sz w:val="32"/>
      <w:szCs w:val="32"/>
    </w:rPr>
  </w:style>
  <w:style w:type="paragraph" w:styleId="3">
    <w:name w:val="heading 2"/>
    <w:basedOn w:val="1"/>
    <w:next w:val="1"/>
    <w:qFormat/>
    <w:uiPriority w:val="0"/>
    <w:pPr>
      <w:keepNext/>
      <w:keepLines/>
      <w:widowControl w:val="0"/>
      <w:spacing w:line="360" w:lineRule="auto"/>
      <w:outlineLvl w:val="1"/>
    </w:pPr>
    <w:rPr>
      <w:rFonts w:ascii="方正仿宋_GBK" w:hAnsi="方正仿宋_GBK" w:eastAsia="方正仿宋_GBK" w:cs="方正仿宋_GBK"/>
      <w:b/>
      <w:bCs/>
      <w:sz w:val="32"/>
      <w:szCs w:val="32"/>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Body Text"/>
    <w:basedOn w:val="1"/>
    <w:next w:val="1"/>
    <w:qFormat/>
    <w:uiPriority w:val="0"/>
    <w:pPr>
      <w:spacing w:after="120"/>
    </w:pPr>
    <w:rPr>
      <w:rFonts w:ascii="Times New Roman" w:hAnsi="Times New Roman" w:eastAsia="宋体" w:cs="Times New Roman"/>
      <w:szCs w:val="24"/>
    </w:rPr>
  </w:style>
  <w:style w:type="paragraph" w:styleId="5">
    <w:name w:val="Body Text Indent 2"/>
    <w:basedOn w:val="1"/>
    <w:qFormat/>
    <w:uiPriority w:val="0"/>
    <w:pPr>
      <w:spacing w:after="120" w:line="480" w:lineRule="auto"/>
      <w:ind w:left="420" w:leftChars="200"/>
    </w:pPr>
    <w:rPr>
      <w:kern w:val="0"/>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2025-09-25T06:40:00Z</dcterms:created>
  <dc:creator> 羊羊</dc:creator>
  <cp:lastModifiedBy> 羊羊</cp:lastModifiedBy>
  <dcterms:modified xsi:type="dcterms:W3CDTF">2025-09-25T06:41:00Z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E37D1E1649814FE7A51D002CBFA6C267_11</vt:lpwstr>
  </property>
  <property fmtid="{D5CDD505-2E9C-101B-9397-08002B2CF9AE}" pid="4" name="KSOTemplateDocerSaveRecord">
    <vt:lpwstr>eyJoZGlkIjoiYWZmODgwODBiNTc2MjM3NjQ5ZmM0ZDkyZjFjZmEyOGUiLCJ1c2VySWQiOiI5NTMxNjk3NzMifQ==</vt:lpwstr>
  </property>
</Properties>
</file>